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montre running homme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montre running homme, montre running GPS, montre running GPS cardio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montre running homme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votre montre running homme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&amp;</w:t>
      </w:r>
      <w:r>
        <w:rPr/>
        <w:t xml:space="preserve">l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;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43" w:history="1">
        <w:r>
          <w:rPr>
            <w:rStyle w:val="NLink"/>
          </w:rPr>
          <w:t xml:space="preserve">accessoire</w:t>
        </w:r>
      </w:hyperlink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-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44" w:history="1">
        <w:r>
          <w:rPr>
            <w:rStyle w:val="NLink"/>
          </w:rPr>
          <w:t xml:space="preserve">moniteur-d'activite</w:t>
        </w:r>
      </w:hyperlink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hyperlink r:id="rId45" w:history="1">
        <w:r>
          <w:rPr>
            <w:rStyle w:val="NLink"/>
          </w:rPr>
          <w:t xml:space="preserve">la solution</w:t>
        </w:r>
      </w:hyperlink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2015-12-03T11:35:50+01:00</dcterms:created>
  <dcterms:modified xsi:type="dcterms:W3CDTF">2015-12-03T11:35:50+01:00</dcterms:modified>
  <dc:title/>
  <dc:description/>
  <dc:subject/>
  <cp:keywords/>
  <cp:category/>
</cp:coreProperties>
</file>