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ses paréos, ponchos et serviettes de bain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paréos, paréo de plage, paréo femme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ses paréos et ses accessoires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paréos et de serviettes, pour un séchage ultra-rapide après une session de glisse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hyperlink r:id="rId146" w:history="1">
        <w:r>
          <w:rPr>
            <w:rStyle w:val="NLink"/>
          </w:rPr>
          <w:t xml:space="preserve">une gamme variée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7" w:history="1">
        <w:r>
          <w:rPr>
            <w:rStyle w:val="NLink"/>
          </w:rPr>
          <w:t xml:space="preserve">serviette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8" w:history="1">
        <w:r>
          <w:rPr>
            <w:rStyle w:val="NLink"/>
          </w:rPr>
          <w:t xml:space="preserve">poncho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