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équipement de kitesurf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kitesurf, équipement kitesurf débutant, équipement kitesurf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kitesurf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pour la pratique du kitesurf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52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hyperlink r:id="rId153" w:history="1">
        <w:r>
          <w:rPr>
            <w:rStyle w:val="NLink"/>
          </w:rPr>
          <w:t xml:space="preserve">aile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54" w:history="1">
        <w:r>
          <w:rPr>
            <w:rStyle w:val="NLink"/>
          </w:rPr>
          <w:t xml:space="preserve">casque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