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Découvrez le plaisir du boomerang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Boomerang, boomerang tripales, boomerang quadripales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Découvrez le plaisir du boomerang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souhaitez accéder aux joies du boomerang, suivez les conseils de DECATHLON qui vous fera découvrir l'univers des boomerangs bipales, tripales et quadripales.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 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64" w:history="1">
        <w:r>
          <w:rPr>
            <w:rStyle w:val="NLink"/>
          </w:rPr>
          <w:t xml:space="preserve">boomerang bipales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65" w:history="1">
        <w:r>
          <w:rPr>
            <w:rStyle w:val="NLink"/>
          </w:rPr>
          <w:t xml:space="preserve">disques volants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hyperlink r:id="rId166" w:history="1">
        <w:r>
          <w:rPr>
            <w:rStyle w:val="NLink"/>
          </w:rPr>
          <w:t xml:space="preserve">cerf-volant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2015-12-03T11:35:57+01:00</dcterms:created>
  <dcterms:modified xsi:type="dcterms:W3CDTF">2015-12-03T11:35:57+01:00</dcterms:modified>
  <dc:title/>
  <dc:description/>
  <dc:subject/>
  <cp:keywords/>
  <cp:category/>
</cp:coreProperties>
</file>