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La découverte de la trottinette pour votre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 enfant, trottinettes enfant à quatre roues, accessoires trottinettes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découverte de la trottinette pour votre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Votre enfant peut pratiquer la trottinette pour se promener ou apprendre à faire des figures faciles. Découvrez les différents modèles disponibles grâce à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6" w:history="1">
        <w:r>
          <w:rPr>
            <w:rStyle w:val="NLink"/>
          </w:rPr>
          <w:t xml:space="preserve">de-3-a-6-ans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hyperlink r:id="rId177" w:history="1">
        <w:r>
          <w:rPr>
            <w:rStyle w:val="NLink"/>
          </w:rPr>
          <w:t xml:space="preserve">de-6-a-12-ans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78" w:history="1">
        <w:r>
          <w:rPr>
            <w:rStyle w:val="NLink"/>
          </w:rPr>
          <w:t xml:space="preserve">plus-de-12-ans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2015-12-03T11:35:58+01:00</dcterms:created>
  <dcterms:modified xsi:type="dcterms:W3CDTF">2015-12-03T11:35:58+01:00</dcterms:modified>
  <dc:title/>
  <dc:description/>
  <dc:subject/>
  <cp:keywords/>
  <cp:category/>
</cp:coreProperties>
</file>