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équipement en gym rythmique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Gym rythmique, gym rythmique fille, gym rythmique garçon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en gym rythmique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gym rythmique est un sport qui demande un équipement spécifique. Il faut donc se le procurer sans se tromper. DECATHLON vous offre ses conseils pour vous aider.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09" w:history="1">
        <w:r>
          <w:rPr>
            <w:rStyle w:val="NLink"/>
          </w:rPr>
          <w:t xml:space="preserve">justaucorps</w:t>
        </w:r>
      </w:hyperlink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0" w:history="1">
        <w:r>
          <w:rPr>
            <w:rStyle w:val="NLink"/>
          </w:rPr>
          <w:t xml:space="preserve">chaussons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ç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hyperlink r:id="rId211" w:history="1">
        <w:r>
          <w:rPr>
            <w:rStyle w:val="NLink"/>
          </w:rPr>
          <w:t xml:space="preserve">ballon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2015-12-03T11:36:01+01:00</dcterms:created>
  <dcterms:modified xsi:type="dcterms:W3CDTF">2015-12-03T11:36:01+01:00</dcterms:modified>
  <dc:title/>
  <dc:description/>
  <dc:subject/>
  <cp:keywords/>
  <cp:category/>
</cp:coreProperties>
</file>