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Complétez votre équipement de stand-up paddle avec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stand up paddle, pagaies, gilets de flottaison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pour stand up paddle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accessoires de stand up paddle.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2" w:history="1">
        <w:r>
          <w:rPr>
            <w:rStyle w:val="NLink"/>
          </w:rPr>
          <w:t xml:space="preserve">sports nautiques</w:t>
        </w:r>
      </w:hyperlink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hyperlink r:id="rId23" w:history="1">
        <w:r>
          <w:rPr>
            <w:rStyle w:val="NLink"/>
          </w:rPr>
          <w:t xml:space="preserve">des pantalons ou bermudas</w:t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4" w:history="1">
        <w:r>
          <w:rPr>
            <w:rStyle w:val="NLink"/>
          </w:rPr>
          <w:t xml:space="preserve">tribord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2015-12-03T11:35:49+01:00</dcterms:created>
  <dcterms:modified xsi:type="dcterms:W3CDTF">2015-12-03T11:35:49+01:00</dcterms:modified>
  <dc:title/>
  <dc:description/>
  <dc:subject/>
  <cp:keywords/>
  <cp:category/>
</cp:coreProperties>
</file>