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foot, maillot de foot homme,  maillot de foot pas cher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maillot de football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large gamme de maillots de football adaptés à vos attentes.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3" w:history="1">
        <w:r>
          <w:rPr>
            <w:rStyle w:val="NLink"/>
          </w:rPr>
          <w:t xml:space="preserve">shorts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4" w:history="1">
        <w:r>
          <w:rPr>
            <w:rStyle w:val="NLink"/>
          </w:rPr>
          <w:t xml:space="preserve">chaussures pour terrain sec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hyperlink r:id="rId245" w:history="1">
        <w:r>
          <w:rPr>
            <w:rStyle w:val="NLink"/>
          </w:rPr>
          <w:t xml:space="preserve">buts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6" w:history="1">
        <w:r>
          <w:rPr>
            <w:rStyle w:val="NLink"/>
          </w:rPr>
          <w:t xml:space="preserve">protège-tibias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2015-12-03T11:36:03+01:00</dcterms:created>
  <dcterms:modified xsi:type="dcterms:W3CDTF">2015-12-03T11:36:03+01:00</dcterms:modified>
  <dc:title/>
  <dc:description/>
  <dc:subject/>
  <cp:keywords/>
  <cp:category/>
</cp:coreProperties>
</file>