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Tout le matériel de camping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de camping, matériel de camping de randonnée, matériel de camping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de camping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bien choisir votre matériel de camping.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74" w:history="1">
        <w:r>
          <w:rPr>
            <w:rStyle w:val="NLink"/>
          </w:rPr>
          <w:t xml:space="preserve">réchauds</w:t>
        </w:r>
      </w:hyperlink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275" w:history="1">
        <w:r>
          <w:rPr>
            <w:rStyle w:val="NLink"/>
          </w:rPr>
          <w:t xml:space="preserve">table et des chaises pliantes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76" w:history="1">
        <w:r>
          <w:rPr>
            <w:rStyle w:val="NLink"/>
          </w:rPr>
          <w:t xml:space="preserve">lampes</w:t>
        </w:r>
      </w:hyperlink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2015-12-03T11:36:05+01:00</dcterms:created>
  <dcterms:modified xsi:type="dcterms:W3CDTF">2015-12-03T11:36:05+01:00</dcterms:modified>
  <dc:title/>
  <dc:description/>
  <dc:subject/>
  <cp:keywords/>
  <cp:category/>
</cp:coreProperties>
</file>