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maillot de cyclisme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 de cyclisme, vélo, cyclistes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cyclisme-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maillot de cyclisme le plus adapté à votre niveau et à l'intensité de votre pratique.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97" w:history="1">
        <w:r>
          <w:rPr>
            <w:rStyle w:val="NLink"/>
          </w:rPr>
          <w:t xml:space="preserve">maillots de cyclisme</w:t>
        </w:r>
      </w:hyperlink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hyperlink r:id="rId298" w:history="1">
        <w:r>
          <w:rPr>
            <w:rStyle w:val="NLink"/>
          </w:rPr>
          <w:t xml:space="preserve">vélo</w:t>
        </w:r>
      </w:hyperlink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y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y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299" w:history="1">
        <w:r>
          <w:rPr>
            <w:rStyle w:val="NLink"/>
          </w:rPr>
          <w:t xml:space="preserve">cyclistes expérimentés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y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y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y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y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2015-12-03T11:36:07+01:00</dcterms:created>
  <dcterms:modified xsi:type="dcterms:W3CDTF">2015-12-03T11:36:07+01:00</dcterms:modified>
  <dc:title/>
  <dc:description/>
  <dc:subject/>
  <cp:keywords/>
  <cp:category/>
</cp:coreProperties>
</file>