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In-the-Know-Making-the-Most-of-Your-Barcelona-Holiday</w:t>
            </w:r>
          </w:p>
        </w:tc>
        <w:tc>
          <w:tcPr>
            <w:tcW w:w="6900" w:type="dxa"/>
            <w:shd w:val="clear" w:color="auto" w:fill="BFBFBF"/>
          </w:tcPr>
          <w:p>
            <w:r>
              <w:t xml:space="preserve">In-the-Know-Making-the-Most-of-Your-Barcelona-Holiday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In the Know: Making the Most of Your Barcelona Holiday</w:t>
            </w:r>
          </w:p>
        </w:tc>
        <w:tc>
          <w:tcPr>
            <w:tcW w:w="6900" w:type="dxa"/>
            <w:shd w:val="clear" w:color="auto" w:fill="BFBFBF"/>
          </w:tcPr>
          <w:p>
            <w:r>
              <w:t xml:space="preserve">In the Know: Making the Most of Your Barcelona Holiday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