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Fun-and-History-for-All-Ages-Family-Friendly-Activities-in-Rome</w:t>
            </w:r>
          </w:p>
        </w:tc>
        <w:tc>
          <w:tcPr>
            <w:tcW w:w="6900" w:type="dxa"/>
            <w:shd w:val="clear" w:color="auto" w:fill="BFBFBF"/>
          </w:tcPr>
          <w:p>
            <w:r>
              <w:t xml:space="preserve">Fun-and-History-for-All-Ages-Family-Friendly-Activities-in-Rome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Fun and History for All Ages: Family-Friendly Activities in Rome</w:t>
            </w:r>
          </w:p>
        </w:tc>
        <w:tc>
          <w:tcPr>
            <w:tcW w:w="6900" w:type="dxa"/>
            <w:shd w:val="clear" w:color="auto" w:fill="BFBFBF"/>
          </w:tcPr>
          <w:p>
            <w:r>
              <w:t xml:space="preserve">Fun and History for All Ages: Family-Friendly Activities in Rome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