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Travel-tips-for-Rome-Eternal-City-essentials</w:t>
            </w:r>
          </w:p>
        </w:tc>
        <w:tc>
          <w:tcPr>
            <w:tcW w:w="6900" w:type="dxa"/>
            <w:shd w:val="clear" w:color="auto" w:fill="BFBFBF"/>
          </w:tcPr>
          <w:p>
            <w:r>
              <w:t xml:space="preserve">Travel-tips-for-Rome-Eternal-City-essentials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Travel tips for Rome: Eternal City essentials</w:t>
            </w:r>
          </w:p>
        </w:tc>
        <w:tc>
          <w:tcPr>
            <w:tcW w:w="6900" w:type="dxa"/>
            <w:shd w:val="clear" w:color="auto" w:fill="BFBFBF"/>
          </w:tcPr>
          <w:p>
            <w:r>
              <w:t xml:space="preserve">Travel tips for Rome: Eternal City essentials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