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Family-Friendly-Fun-in-the-Sun-in-Barcelona</w:t>
            </w:r>
          </w:p>
        </w:tc>
        <w:tc>
          <w:tcPr>
            <w:tcW w:w="6900" w:type="dxa"/>
            <w:shd w:val="clear" w:color="auto" w:fill="C8C8C8"/>
          </w:tcPr>
          <w:p>
            <w:r>
              <w:t xml:space="preserve">Family-Friendly-Fun-in-the-Sun-in-Barcelona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Fun in the Sun in Barcelona</w:t>
            </w:r>
          </w:p>
        </w:tc>
        <w:tc>
          <w:tcPr>
            <w:tcW w:w="6900" w:type="dxa"/>
            <w:shd w:val="clear" w:color="auto" w:fill="C8C8C8"/>
          </w:tcPr>
          <w:p>
            <w:r>
              <w:t xml:space="preserve">Family-Friendly Fun in the Sun in Barcelona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