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Barcelona - a neighborhood guide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Where-to-stay-in-Barcelona-a-neighborhood-guide</w:t>
            </w:r>
          </w:p>
        </w:tc>
        <w:tc>
          <w:tcPr>
            <w:tcW w:w="6900" w:type="dxa"/>
            <w:shd w:val="clear" w:color="auto" w:fill="C8C8C8"/>
          </w:tcPr>
          <w:p>
            <w:r>
              <w:t xml:space="preserve">Where-to-stay-in-Barcelona-a-neighborhood-guide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w:t>
            </w:r>
          </w:p>
        </w:tc>
        <w:tc>
          <w:tcPr>
            <w:tcW w:w="6900" w:type="dxa"/>
            <w:shd w:val="clear" w:color="auto" w:fill="C8C8C8"/>
          </w:tcPr>
          <w:p>
            <w:r>
              <w:t xml:space="preserve">Where to Stay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Where to stay in Barcelona - a neighborhood guide</w:t>
            </w:r>
          </w:p>
        </w:tc>
        <w:tc>
          <w:tcPr>
            <w:tcW w:w="6900" w:type="dxa"/>
            <w:shd w:val="clear" w:color="auto" w:fill="C8C8C8"/>
          </w:tcPr>
          <w:p>
            <w:r>
              <w:t xml:space="preserve">Where to stay in Barcelona - a neighborhood guide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default/barcelona_0_View_from_Temple_de_Sagrat_Cor__Mount_Tibadabo_(2).JPG</w:t>
            </w:r>
          </w:p>
        </w:tc>
        <w:tc>
          <w:tcPr>
            <w:tcW w:w="6900" w:type="dxa"/>
            <w:shd w:val="clear" w:color="auto" w:fill="C8C8C8"/>
          </w:tcPr>
          <w:p>
            <w:r>
              <w:t xml:space="preserve">default/barcelona_0_View_from_Temple_de_Sagrat_Cor__Mount_Tibadabo_(2).JPG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Accommodation options in Barcelona are extremely varied. Here you can choose from a luxury boutique to a modest bed and breakfast, a forward-thinking eco-hotel to a family-run hostel as a place to rest your head. Whatever you decide, however, you won't be disappointed with Barcelona. A city-break destination with all the comforts available to the modern traveler, you'll never feel too far away from home.</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Ciutat Vella (Old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oldest section of the city, the Ciutat Vella is perhaps the most charismatic area in all of Barcelona. Dominated by winding cobblestone streets, historic buildings, shaded cafes and sought-after restaurants, the Old City has a lot to offer. Make your way over to the Barri Gòtic to discover a warren of traditional shops and modern boutiques, dotted around hidden squares and secluded alleys.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Ciutat Vella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Sprawling across many of Barcelona's main districts and located close to nearby attractions, hotels in the Ciutat Vella are ideally situated. With a wide range of accommodation options available, from two to four-Star hotels, visitors can select to stay in the more upmarket areas of La Rambla and the Barri Gòtic or opt to stay in more affordable areas such as El Raval.</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Eixample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right in the heart of the city, Eixample is a buzzing part of Barcelona. Divided into a grid-like structure, with relaxed Esquerra to the left and the trendy Dreta district to the right, Eixample has both a varied and compelling atmosphere. Filled with rows of shops and cozy restaurants, not to mention Gaudí's Casa Battló and Casa Milà, Eixample is a great place to stay.</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Eixample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Surrounding the shops and restaurants of Eixample, you'll discover countless spots to stay. A prime location for exploring Barcelona's main sights, hotels here tend to be a little pricier than other districts. Nevertheless, the euros you shell out to stay here will all be worth it in the end when you find yourself facing views such as La Sagrada Família or the tree-lined Rambla de Catalunya.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Les Corts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upbeat financial district with a hurried pace, Les Corts offers another side to Barcelona's charm. Occupied by gourmet restaurants, luxury hotels and shops dotted along Diagonal Avenue, Les Corts is ideally designed for travelers on the move. Also, be warned, as home to FC Barcelona's stomping ground - the Camp Nou stadium - you'll find this area becomes littered with local football fans on a regular basis.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Les Corts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With everything from one to five-star hotels, you can find something to suit your tastes and budgets in Les Corts. Catering largely to the business traveler, however, you'll find luxury hotels in abundance, with facilities such as conference facilities, spas and fitness centres being rolled out to every guest.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Barcelona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Barcelona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where to stay, neighborhood,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www.hotels.com/articles/ar003108</w:t>
            </w:r>
          </w:p>
        </w:tc>
        <w:tc>
          <w:tcPr>
            <w:tcW w:w="6900" w:type="dxa"/>
            <w:shd w:val="clear" w:color="auto" w:fill="C8C8C8"/>
          </w:tcPr>
          <w:p>
            <w:r>
              <w:t xml:space="preserve">www.hotels.com/articles/ar003108</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