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Travel-Tips-for-London-A-Capital-City-for-All-Seasons</w:t>
            </w:r>
          </w:p>
        </w:tc>
        <w:tc>
          <w:tcPr>
            <w:tcW w:w="6900" w:type="dxa"/>
            <w:shd w:val="clear" w:color="auto" w:fill="C8C8C8"/>
          </w:tcPr>
          <w:p>
            <w:r>
              <w:t xml:space="preserve">Travel-Tips-for-London-A-Capital-City-for-All-Seasons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London: A Capital City for All Seasons</w:t>
            </w:r>
          </w:p>
        </w:tc>
        <w:tc>
          <w:tcPr>
            <w:tcW w:w="6900" w:type="dxa"/>
            <w:shd w:val="clear" w:color="auto" w:fill="C8C8C8"/>
          </w:tcPr>
          <w:p>
            <w:r>
              <w:t xml:space="preserve">Travel Tips for London: A Capital City for All Seasons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