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HCOM_SV</w:t>
            </w:r>
          </w:p>
        </w:tc>
        <w:tc>
          <w:tcPr>
            <w:tcW w:w="6900" w:type="dxa"/>
            <w:shd w:val="clear" w:color="auto" w:fill="C8C8C8"/>
          </w:tcPr>
          <w:p>
            <w:r>
              <w:t xml:space="preserve">HCOM_SV</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Shopping-in-Rome-Designer-Labels-Artisanal-Goods-and-Street-Markets</w:t>
            </w:r>
          </w:p>
        </w:tc>
        <w:tc>
          <w:tcPr>
            <w:tcW w:w="6900" w:type="dxa"/>
            <w:shd w:val="clear" w:color="auto" w:fill="C8C8C8"/>
          </w:tcPr>
          <w:p>
            <w:r>
              <w:t xml:space="preserve">Shopping-in-Rome-Designer-Labels-Artisanal-Goods-and-Street-Markets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Rome: Designer Labels, Artisanal Goods, and Street Markets</w:t>
            </w:r>
          </w:p>
        </w:tc>
        <w:tc>
          <w:tcPr>
            <w:tcW w:w="6900" w:type="dxa"/>
            <w:shd w:val="clear" w:color="auto" w:fill="C8C8C8"/>
          </w:tcPr>
          <w:p>
            <w:r>
              <w:t xml:space="preserve">Shopping in Rome: Designer Labels, Artisanal Goods, and Street Markets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