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731025">
        <w:tc>
          <w:tcPr>
            <w:tcW w:w="500" w:type="dxa"/>
            <w:shd w:val="clear" w:color="auto" w:fill="FF0000"/>
          </w:tcPr>
          <w:p w:rsidR="00731025" w:rsidRDefault="0073102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731025" w:rsidRDefault="0073102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731025" w:rsidRDefault="00731025">
            <w:proofErr w:type="spellStart"/>
            <w:r>
              <w:t>ja_JP</w:t>
            </w:r>
            <w:proofErr w:type="spellEnd"/>
          </w:p>
        </w:tc>
      </w:tr>
      <w:tr w:rsidR="00731025">
        <w:tc>
          <w:tcPr>
            <w:tcW w:w="500" w:type="dxa"/>
            <w:shd w:val="clear" w:color="auto" w:fill="FF0000"/>
          </w:tcPr>
          <w:p w:rsidR="00731025" w:rsidRDefault="0073102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731025" w:rsidRDefault="0073102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731025" w:rsidRDefault="00731025">
            <w:r>
              <w:t>Aomori</w:t>
            </w:r>
          </w:p>
        </w:tc>
      </w:tr>
      <w:tr w:rsidR="00731025">
        <w:tc>
          <w:tcPr>
            <w:tcW w:w="500" w:type="dxa"/>
            <w:shd w:val="clear" w:color="auto" w:fill="FF0000"/>
          </w:tcPr>
          <w:p w:rsidR="00731025" w:rsidRDefault="0073102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731025" w:rsidRDefault="00731025">
            <w:r>
              <w:t>Category</w:t>
            </w:r>
          </w:p>
        </w:tc>
        <w:tc>
          <w:tcPr>
            <w:tcW w:w="13300" w:type="dxa"/>
          </w:tcPr>
          <w:p w:rsidR="00731025" w:rsidRDefault="00731025">
            <w:r>
              <w:t xml:space="preserve">                                                                                             Arts and Culture</w:t>
            </w:r>
          </w:p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Destination</w:t>
            </w:r>
          </w:p>
        </w:tc>
        <w:tc>
          <w:tcPr>
            <w:tcW w:w="13300" w:type="dxa"/>
          </w:tcPr>
          <w:p w:rsidR="00731025" w:rsidRDefault="00731025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青森</w:t>
            </w:r>
          </w:p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Country</w:t>
            </w:r>
          </w:p>
        </w:tc>
        <w:tc>
          <w:tcPr>
            <w:tcW w:w="13300" w:type="dxa"/>
          </w:tcPr>
          <w:p w:rsidR="00731025" w:rsidRDefault="00731025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Content name</w:t>
            </w:r>
          </w:p>
        </w:tc>
        <w:tc>
          <w:tcPr>
            <w:tcW w:w="13300" w:type="dxa"/>
          </w:tcPr>
          <w:p w:rsidR="00731025" w:rsidRDefault="00731025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青森のアート、文化</w:t>
            </w:r>
            <w:r w:rsidR="0032544C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に触れよう</w:t>
            </w:r>
          </w:p>
        </w:tc>
      </w:tr>
      <w:tr w:rsidR="00731025">
        <w:tc>
          <w:tcPr>
            <w:tcW w:w="500" w:type="dxa"/>
            <w:shd w:val="clear" w:color="auto" w:fill="FF0000"/>
          </w:tcPr>
          <w:p w:rsidR="00731025" w:rsidRDefault="0073102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731025" w:rsidRDefault="00731025">
            <w:r>
              <w:t>Destination ID</w:t>
            </w:r>
          </w:p>
        </w:tc>
        <w:tc>
          <w:tcPr>
            <w:tcW w:w="13300" w:type="dxa"/>
          </w:tcPr>
          <w:p w:rsidR="00731025" w:rsidRDefault="00731025">
            <w:r>
              <w:t>www.hotels.com/de729488</w:t>
            </w:r>
          </w:p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Introduction</w:t>
            </w:r>
          </w:p>
        </w:tc>
        <w:tc>
          <w:tcPr>
            <w:tcW w:w="13300" w:type="dxa"/>
          </w:tcPr>
          <w:p w:rsidR="00731025" w:rsidRDefault="00EE2261" w:rsidP="0032544C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文化的なスポットが多くある</w:t>
            </w:r>
            <w:r w:rsidR="00731025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青森では、美術館、縄文遺跡</w:t>
            </w:r>
            <w:r w:rsidR="0032544C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を始め</w:t>
            </w:r>
            <w:r w:rsidR="00731025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、現代建築</w:t>
            </w:r>
            <w:r w:rsidR="0032544C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や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青森出身の文豪を紹介する文学館</w:t>
            </w:r>
            <w:r w:rsidR="0032544C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など見どころが尽きません。さらには独特の</w:t>
            </w:r>
            <w:r w:rsidR="00731025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民藝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品</w:t>
            </w:r>
            <w:r w:rsidR="0032544C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も目を楽しませてくれます。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heading</w:t>
            </w:r>
          </w:p>
        </w:tc>
        <w:tc>
          <w:tcPr>
            <w:tcW w:w="13300" w:type="dxa"/>
          </w:tcPr>
          <w:p w:rsidR="00731025" w:rsidRDefault="009935C0" w:rsidP="009935C0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青森の現代と歴史を見る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intro</w:t>
            </w:r>
          </w:p>
        </w:tc>
        <w:tc>
          <w:tcPr>
            <w:tcW w:w="13300" w:type="dxa"/>
          </w:tcPr>
          <w:p w:rsidR="00731025" w:rsidRDefault="009935C0">
            <w:pPr>
              <w:autoSpaceDE w:val="0"/>
              <w:autoSpaceDN w:val="0"/>
              <w:adjustRightInd w:val="0"/>
              <w:rPr>
                <w:rFonts w:ascii="Times-Roman" w:eastAsia="HiraKakuProN-W3" w:hAnsi="Times-Roman"/>
                <w:sz w:val="24"/>
                <w:lang w:val="en-US" w:eastAsia="ja-JP"/>
              </w:rPr>
            </w:pPr>
            <w:r>
              <w:rPr>
                <w:rFonts w:ascii="Times-Roman" w:eastAsia="HiraKakuProN-W3" w:hAnsi="Times-Roman" w:hint="eastAsia"/>
                <w:sz w:val="24"/>
                <w:lang w:val="en-US" w:eastAsia="ja-JP"/>
              </w:rPr>
              <w:t>隣り合う美術館と縄文遺跡。どちらも、青森の今と昔を伝えるのになくてはならない存在です。見ごたえたっぷりのこの２ヶ所、どうぞ時間をかけて見学してください。</w:t>
            </w:r>
          </w:p>
          <w:p w:rsidR="00731025" w:rsidRDefault="00731025">
            <w:pPr>
              <w:rPr>
                <w:lang w:eastAsia="ja-JP"/>
              </w:rPr>
            </w:pP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1 name</w:t>
            </w:r>
          </w:p>
        </w:tc>
        <w:tc>
          <w:tcPr>
            <w:tcW w:w="13300" w:type="dxa"/>
          </w:tcPr>
          <w:p w:rsidR="00731025" w:rsidRDefault="00731025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青森県立美術館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1 description</w:t>
            </w:r>
          </w:p>
        </w:tc>
        <w:tc>
          <w:tcPr>
            <w:tcW w:w="13300" w:type="dxa"/>
          </w:tcPr>
          <w:p w:rsidR="00731025" w:rsidRDefault="0032544C" w:rsidP="0032544C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青森県の芸術風土を世界に向けて発信する、</w:t>
            </w:r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>2006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年に開館した青森県立美術館。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映画、演劇、音楽など様々な文化芸術活動を展開し、子供</w:t>
            </w:r>
            <w:r w:rsidR="0073102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向けのワークショップなども充実しています。</w:t>
            </w:r>
            <w:r w:rsidR="00731025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シャガール絵画や「あおもり犬」の彫刻、オリジナルフォントでも知られています。三内丸山遺跡に隣接して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おり、合わせて見学できるのも嬉しいところ。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1 address Line 1</w:t>
            </w:r>
          </w:p>
        </w:tc>
        <w:tc>
          <w:tcPr>
            <w:tcW w:w="13300" w:type="dxa"/>
          </w:tcPr>
          <w:p w:rsidR="00731025" w:rsidRDefault="009935C0">
            <w:r w:rsidRPr="009935C0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〒038-0021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　</w:t>
            </w:r>
            <w:r w:rsidR="0073102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青森市安田字近野</w:t>
            </w:r>
            <w:r w:rsidR="00731025">
              <w:rPr>
                <w:rFonts w:ascii="Times-Roman" w:eastAsia="HiraMinProN-W3" w:hAnsi="Times-Roman"/>
                <w:sz w:val="24"/>
                <w:lang w:val="en-US" w:eastAsia="ja-JP"/>
              </w:rPr>
              <w:t>185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1 contact number</w:t>
            </w:r>
          </w:p>
        </w:tc>
        <w:tc>
          <w:tcPr>
            <w:tcW w:w="13300" w:type="dxa"/>
          </w:tcPr>
          <w:p w:rsidR="00731025" w:rsidRDefault="009935C0">
            <w:r>
              <w:rPr>
                <w:rFonts w:ascii="Times-Roman" w:hAnsi="Times-Roman" w:hint="eastAsia"/>
                <w:sz w:val="24"/>
                <w:lang w:val="en-US" w:eastAsia="ja-JP"/>
              </w:rPr>
              <w:t xml:space="preserve">+81 </w:t>
            </w:r>
            <w:r w:rsidR="00731025">
              <w:rPr>
                <w:rFonts w:ascii="Times-Roman" w:hAnsi="Times-Roman"/>
                <w:sz w:val="24"/>
                <w:lang w:val="en-US" w:eastAsia="ja-JP"/>
              </w:rPr>
              <w:t>17-783-3000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1 URL</w:t>
            </w:r>
          </w:p>
        </w:tc>
        <w:tc>
          <w:tcPr>
            <w:tcW w:w="13300" w:type="dxa"/>
          </w:tcPr>
          <w:p w:rsidR="00731025" w:rsidRDefault="006D7108">
            <w:hyperlink r:id="rId6" w:history="1">
              <w:r w:rsidR="00EE2261" w:rsidRPr="00731025">
                <w:rPr>
                  <w:rStyle w:val="Hyperlink"/>
                  <w:rFonts w:ascii="Times-Roman" w:hAnsi="Times-Roman"/>
                  <w:sz w:val="24"/>
                  <w:lang w:val="en-US" w:eastAsia="ja-JP"/>
                </w:rPr>
                <w:t>http://www.aomori-museum.jp</w:t>
              </w:r>
            </w:hyperlink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2 name</w:t>
            </w:r>
          </w:p>
        </w:tc>
        <w:tc>
          <w:tcPr>
            <w:tcW w:w="13300" w:type="dxa"/>
          </w:tcPr>
          <w:p w:rsidR="00731025" w:rsidRDefault="00731025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三内丸山遺跡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2 description</w:t>
            </w:r>
          </w:p>
        </w:tc>
        <w:tc>
          <w:tcPr>
            <w:tcW w:w="13300" w:type="dxa"/>
          </w:tcPr>
          <w:p w:rsidR="00731025" w:rsidRDefault="00731025" w:rsidP="009935C0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>2000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年に国の特別史跡に指定された縄文時代の</w:t>
            </w:r>
            <w:r w:rsidR="009935C0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大規模集落跡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。今から約</w:t>
            </w:r>
            <w:r>
              <w:rPr>
                <w:rFonts w:ascii="Verdana" w:eastAsia="HiraMinProN-W3" w:hAnsi="Verdana"/>
                <w:sz w:val="24"/>
                <w:lang w:val="en-US" w:eastAsia="ja-JP"/>
              </w:rPr>
              <w:t>5500</w:t>
            </w:r>
            <w:r>
              <w:rPr>
                <w:rFonts w:ascii="HiraKakuProN-W3" w:eastAsia="HiraKakuProN-W3" w:hAnsi="Verdana" w:hint="eastAsia"/>
                <w:sz w:val="24"/>
                <w:lang w:val="en-US" w:eastAsia="ja-JP"/>
              </w:rPr>
              <w:t>年前から</w:t>
            </w:r>
            <w:r>
              <w:rPr>
                <w:rFonts w:ascii="Verdana" w:eastAsia="HiraKakuProN-W3" w:hAnsi="Verdana"/>
                <w:sz w:val="24"/>
                <w:lang w:val="en-US" w:eastAsia="ja-JP"/>
              </w:rPr>
              <w:t>4000</w:t>
            </w:r>
            <w:r>
              <w:rPr>
                <w:rFonts w:ascii="HiraMinProN-W3" w:eastAsia="HiraMinProN-W3" w:hAnsi="Verdana" w:hint="eastAsia"/>
                <w:sz w:val="24"/>
                <w:lang w:val="en-US" w:eastAsia="ja-JP"/>
              </w:rPr>
              <w:t>年前</w:t>
            </w:r>
            <w:r w:rsidR="009935C0">
              <w:rPr>
                <w:rFonts w:ascii="HiraMinProN-W3" w:eastAsia="HiraMinProN-W3" w:hAnsi="Verdana" w:hint="eastAsia"/>
                <w:sz w:val="24"/>
                <w:lang w:val="en-US" w:eastAsia="ja-JP"/>
              </w:rPr>
              <w:t>に遡る</w:t>
            </w:r>
            <w:r>
              <w:rPr>
                <w:rFonts w:ascii="HiraMinProN-W3" w:eastAsia="HiraMinProN-W3" w:hAnsi="Verdana" w:hint="eastAsia"/>
                <w:sz w:val="24"/>
                <w:lang w:val="en-US" w:eastAsia="ja-JP"/>
              </w:rPr>
              <w:t>この集落跡からは、ヒョウタン、ゴボウ、マメなどの栽培植物が出土し、</w:t>
            </w:r>
            <w:r>
              <w:rPr>
                <w:rFonts w:ascii="Verdana" w:eastAsia="HiraMinProN-W3" w:hAnsi="Verdana"/>
                <w:sz w:val="24"/>
                <w:lang w:val="en-US" w:eastAsia="ja-JP"/>
              </w:rPr>
              <w:t>DNA</w:t>
            </w:r>
            <w:r>
              <w:rPr>
                <w:rFonts w:ascii="HiraMinProN-W3" w:eastAsia="HiraMinProN-W3" w:hAnsi="Verdana" w:hint="eastAsia"/>
                <w:sz w:val="24"/>
                <w:lang w:val="en-US" w:eastAsia="ja-JP"/>
              </w:rPr>
              <w:t>分析によりクリの栽培が明らかになるなど、数多くの発見が縄文文化のイメージを大きく変えました。</w:t>
            </w:r>
            <w:r w:rsidR="005D592A">
              <w:rPr>
                <w:rFonts w:ascii="HiraMinProN-W3" w:eastAsia="HiraMinProN-W3" w:hAnsi="Verdana" w:hint="eastAsia"/>
                <w:sz w:val="24"/>
                <w:lang w:val="en-US" w:eastAsia="ja-JP"/>
              </w:rPr>
              <w:t>見学・ガイド付き見学も無料で気軽に立ち寄れます。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2 address Line 1</w:t>
            </w:r>
          </w:p>
        </w:tc>
        <w:tc>
          <w:tcPr>
            <w:tcW w:w="13300" w:type="dxa"/>
          </w:tcPr>
          <w:p w:rsidR="00731025" w:rsidRDefault="009935C0">
            <w:pPr>
              <w:tabs>
                <w:tab w:val="left" w:pos="2592"/>
              </w:tabs>
              <w:jc w:val="both"/>
            </w:pPr>
            <w:r w:rsidRPr="009935C0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〒038-0031</w:t>
            </w:r>
            <w:r w:rsidR="0073102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青森市三内丸山</w:t>
            </w:r>
            <w:r w:rsidR="00731025">
              <w:rPr>
                <w:rFonts w:ascii="HiraMinProN-W3" w:eastAsia="HiraMinProN-W3" w:hAnsi="Times New Roman"/>
                <w:sz w:val="24"/>
                <w:lang w:val="en-US" w:eastAsia="ja-JP"/>
              </w:rPr>
              <w:t>305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2 contact number</w:t>
            </w:r>
          </w:p>
        </w:tc>
        <w:tc>
          <w:tcPr>
            <w:tcW w:w="13300" w:type="dxa"/>
          </w:tcPr>
          <w:p w:rsidR="00731025" w:rsidRDefault="005D592A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+81 </w:t>
            </w:r>
            <w:r w:rsidR="00731025">
              <w:rPr>
                <w:rFonts w:ascii="HiraMinProN-W3" w:eastAsia="HiraMinProN-W3" w:hAnsi="Times New Roman"/>
                <w:sz w:val="24"/>
                <w:lang w:val="en-US" w:eastAsia="ja-JP"/>
              </w:rPr>
              <w:t>17-781-6078</w:t>
            </w:r>
          </w:p>
        </w:tc>
      </w:tr>
      <w:tr w:rsidR="00731025">
        <w:tc>
          <w:tcPr>
            <w:tcW w:w="500" w:type="dxa"/>
            <w:shd w:val="clear" w:color="auto" w:fill="9CC2E5"/>
          </w:tcPr>
          <w:p w:rsidR="00731025" w:rsidRDefault="00731025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731025" w:rsidRDefault="00731025">
            <w:r>
              <w:t>Paragraph 1 venue 2 URL</w:t>
            </w:r>
          </w:p>
        </w:tc>
        <w:tc>
          <w:tcPr>
            <w:tcW w:w="13300" w:type="dxa"/>
          </w:tcPr>
          <w:p w:rsidR="00731025" w:rsidRDefault="006D7108">
            <w:hyperlink r:id="rId7" w:history="1">
              <w:r w:rsidR="00EE2261" w:rsidRPr="00731025">
                <w:rPr>
                  <w:rStyle w:val="Hyperlink"/>
                  <w:rFonts w:ascii="Times-Roman" w:hAnsi="Times-Roman"/>
                  <w:sz w:val="24"/>
                  <w:lang w:val="en-US" w:eastAsia="ja-JP"/>
                </w:rPr>
                <w:t>http://sannaimaruyama.pref.aomori.jp/about/main.html</w:t>
              </w:r>
            </w:hyperlink>
          </w:p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heading</w:t>
            </w:r>
          </w:p>
        </w:tc>
        <w:tc>
          <w:tcPr>
            <w:tcW w:w="13300" w:type="dxa"/>
          </w:tcPr>
          <w:p w:rsidR="00731025" w:rsidRDefault="005D592A" w:rsidP="005D592A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現代アート、建築に包まれよう</w:t>
            </w:r>
          </w:p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intro</w:t>
            </w:r>
          </w:p>
        </w:tc>
        <w:tc>
          <w:tcPr>
            <w:tcW w:w="13300" w:type="dxa"/>
          </w:tcPr>
          <w:p w:rsidR="00731025" w:rsidRPr="00A44E59" w:rsidRDefault="00A44E59" w:rsidP="00A44E59">
            <w:pPr>
              <w:autoSpaceDE w:val="0"/>
              <w:autoSpaceDN w:val="0"/>
              <w:adjustRightInd w:val="0"/>
              <w:spacing w:after="240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アートを発信続ける青森。</w:t>
            </w:r>
            <w:r w:rsidR="006D7108">
              <w:rPr>
                <w:rFonts w:hint="eastAsia"/>
                <w:sz w:val="24"/>
                <w:szCs w:val="24"/>
                <w:lang w:eastAsia="ja-JP"/>
              </w:rPr>
              <w:t>都会のミュージアムとはまた違った雰囲気をぜひ楽しんでください。</w:t>
            </w:r>
            <w:bookmarkStart w:id="0" w:name="_GoBack"/>
            <w:bookmarkEnd w:id="0"/>
          </w:p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1 name</w:t>
            </w:r>
          </w:p>
        </w:tc>
        <w:tc>
          <w:tcPr>
            <w:tcW w:w="13300" w:type="dxa"/>
          </w:tcPr>
          <w:p w:rsidR="00731025" w:rsidRDefault="00731025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国際芸術センター青森</w:t>
            </w:r>
          </w:p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1 description</w:t>
            </w:r>
          </w:p>
        </w:tc>
        <w:tc>
          <w:tcPr>
            <w:tcW w:w="13300" w:type="dxa"/>
          </w:tcPr>
          <w:p w:rsidR="00731025" w:rsidRPr="00A44E59" w:rsidRDefault="00A44E59" w:rsidP="00A44E59">
            <w:pPr>
              <w:rPr>
                <w:rFonts w:ascii="HiraMinProN-W3" w:eastAsia="HiraMinProN-W3" w:hAnsi="Times New Roman"/>
                <w:sz w:val="24"/>
                <w:lang w:val="en-US"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青森の豊かな自然環境の中で、国内外のアーティストを招き、アーティスト イン レジデンス プログラム（一定期間アーティストを招き、そこでアーティストは作品制作を行う）を通して、セミナーやシンポジウムが行われ、また創作活動を体験できるワークショップなど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、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様々な芸術体験の場も設けられています。</w:t>
            </w:r>
            <w:r w:rsidR="0073102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建築家安藤忠雄氏による設計でも知られ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、</w:t>
            </w:r>
            <w:r w:rsidR="0073102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周囲の自然環境を生かし、建物を森に埋没させる「見えない建築」をテーマ</w:t>
            </w:r>
            <w:r w:rsidR="00EE226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とした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その</w:t>
            </w:r>
            <w:r w:rsidR="00EE226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独特の建築空間は、滞在するアーティストそして訪れる人々</w:t>
            </w:r>
            <w:r w:rsidR="0073102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の新しい想像力をかきたてます。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入場料は無料、野外彫刻作品も多数展示され、天気のよい日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lastRenderedPageBreak/>
              <w:t>には散歩しながら芸術に間近に迫ることができます。</w:t>
            </w:r>
          </w:p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1 address Line 1</w:t>
            </w:r>
          </w:p>
        </w:tc>
        <w:tc>
          <w:tcPr>
            <w:tcW w:w="13300" w:type="dxa"/>
          </w:tcPr>
          <w:p w:rsidR="00731025" w:rsidRDefault="00A44E59">
            <w:r w:rsidRPr="00A44E59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〒030-0134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　</w:t>
            </w:r>
            <w:r w:rsidR="0073102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青森市合子沢字山崎</w:t>
            </w:r>
            <w:r w:rsidR="00731025">
              <w:rPr>
                <w:rFonts w:ascii="Times-Roman" w:eastAsia="HiraMinProN-W3" w:hAnsi="Times-Roman"/>
                <w:sz w:val="24"/>
                <w:lang w:val="en-US" w:eastAsia="ja-JP"/>
              </w:rPr>
              <w:t>152-6</w:t>
            </w:r>
          </w:p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1 contact number</w:t>
            </w:r>
          </w:p>
        </w:tc>
        <w:tc>
          <w:tcPr>
            <w:tcW w:w="13300" w:type="dxa"/>
          </w:tcPr>
          <w:p w:rsidR="00731025" w:rsidRDefault="00A44E59">
            <w:r>
              <w:rPr>
                <w:rFonts w:ascii="Times-Roman" w:hAnsi="Times-Roman" w:hint="eastAsia"/>
                <w:sz w:val="24"/>
                <w:lang w:val="en-US" w:eastAsia="ja-JP"/>
              </w:rPr>
              <w:t xml:space="preserve">+81 </w:t>
            </w:r>
            <w:r w:rsidR="00731025">
              <w:rPr>
                <w:rFonts w:ascii="Times-Roman" w:hAnsi="Times-Roman"/>
                <w:sz w:val="24"/>
                <w:lang w:val="en-US" w:eastAsia="ja-JP"/>
              </w:rPr>
              <w:t>17-764-5200</w:t>
            </w:r>
          </w:p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1 URL</w:t>
            </w:r>
          </w:p>
        </w:tc>
        <w:tc>
          <w:tcPr>
            <w:tcW w:w="13300" w:type="dxa"/>
          </w:tcPr>
          <w:p w:rsidR="00731025" w:rsidRDefault="006D7108">
            <w:hyperlink r:id="rId8" w:history="1">
              <w:r w:rsidR="00EE2261" w:rsidRPr="00731025">
                <w:rPr>
                  <w:rStyle w:val="Hyperlink"/>
                  <w:rFonts w:ascii="Times-Roman" w:hAnsi="Times-Roman"/>
                  <w:sz w:val="24"/>
                  <w:lang w:val="en-US" w:eastAsia="ja-JP"/>
                </w:rPr>
                <w:t>http://www.acac-aomori.jp</w:t>
              </w:r>
            </w:hyperlink>
          </w:p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2 name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2 description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2 address Line 1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2 contact number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DD6EE"/>
          </w:tcPr>
          <w:p w:rsidR="00731025" w:rsidRDefault="00731025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731025" w:rsidRDefault="00731025">
            <w:r>
              <w:t>Paragraph 2 venue 2 URL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heading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intro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1 name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1 description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1 address Line 1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1 contact number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1 URL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2 name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2 description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2 address Line 1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2 contact number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B4BAC3"/>
          </w:tcPr>
          <w:p w:rsidR="00731025" w:rsidRDefault="00731025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731025" w:rsidRDefault="00731025">
            <w:r>
              <w:t>Paragraph 3 venue 2 URL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heading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intro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1 name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1 description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1 address Line 1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1 contact number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1 URL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2 name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2 description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2 address Line 1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2 contact number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8E98A5"/>
          </w:tcPr>
          <w:p w:rsidR="00731025" w:rsidRDefault="00731025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731025" w:rsidRDefault="00731025">
            <w:r>
              <w:t>Paragraph 4 venue 2 URL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heading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intro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1 name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1 description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1 address Line 1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1 contact number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lastRenderedPageBreak/>
              <w:t>63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1 URL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2 name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2 description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2 address Line 1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2 contact number</w:t>
            </w:r>
          </w:p>
        </w:tc>
        <w:tc>
          <w:tcPr>
            <w:tcW w:w="13300" w:type="dxa"/>
          </w:tcPr>
          <w:p w:rsidR="00731025" w:rsidRDefault="00731025"/>
        </w:tc>
      </w:tr>
      <w:tr w:rsidR="00731025">
        <w:tc>
          <w:tcPr>
            <w:tcW w:w="500" w:type="dxa"/>
            <w:shd w:val="clear" w:color="auto" w:fill="0070C0"/>
          </w:tcPr>
          <w:p w:rsidR="00731025" w:rsidRDefault="00731025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731025" w:rsidRDefault="00731025">
            <w:r>
              <w:t>Paragraph 5 venue 2 URL</w:t>
            </w:r>
          </w:p>
        </w:tc>
        <w:tc>
          <w:tcPr>
            <w:tcW w:w="13300" w:type="dxa"/>
          </w:tcPr>
          <w:p w:rsidR="00731025" w:rsidRDefault="00731025"/>
        </w:tc>
      </w:tr>
    </w:tbl>
    <w:p w:rsidR="00731025" w:rsidRDefault="00731025"/>
    <w:sectPr w:rsidR="0073102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DB529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5036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1E5B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CEC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DCC18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5D002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3D3C8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2108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71508E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FDE00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C0CF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8E303F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B470B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6A29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8ECA62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FFE499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D2EEC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E4D09C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5">
    <w:nsid w:val="59042E43"/>
    <w:multiLevelType w:val="hybridMultilevel"/>
    <w:tmpl w:val="1E589F26"/>
    <w:lvl w:ilvl="0" w:tplc="CD3022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 w:tplc="D88AAE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2F320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A6708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F4C2C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61766C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6C02F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8324C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5C964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6">
    <w:nsid w:val="5B46542A"/>
    <w:multiLevelType w:val="hybridMultilevel"/>
    <w:tmpl w:val="B0C2ADC2"/>
    <w:lvl w:ilvl="0" w:tplc="DF1C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KakuProN-W3" w:hint="default"/>
      </w:rPr>
    </w:lvl>
    <w:lvl w:ilvl="1" w:tplc="05A02D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B66CD6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64FC7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2E89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8752B4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D80CD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8BC7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82988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61"/>
    <w:rsid w:val="0032544C"/>
    <w:rsid w:val="00475AFE"/>
    <w:rsid w:val="00545139"/>
    <w:rsid w:val="005D592A"/>
    <w:rsid w:val="006D7108"/>
    <w:rsid w:val="00731025"/>
    <w:rsid w:val="009935C0"/>
    <w:rsid w:val="00A44E59"/>
    <w:rsid w:val="00E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E2261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E22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c-aomori.j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nnaimaruyama.pref.aomori.jp/about/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omori-museum.j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3507</CharactersWithSpaces>
  <SharedDoc>false</SharedDoc>
  <HLinks>
    <vt:vector size="18" baseType="variant">
      <vt:variant>
        <vt:i4>2752624</vt:i4>
      </vt:variant>
      <vt:variant>
        <vt:i4>6</vt:i4>
      </vt:variant>
      <vt:variant>
        <vt:i4>0</vt:i4>
      </vt:variant>
      <vt:variant>
        <vt:i4>5</vt:i4>
      </vt:variant>
      <vt:variant>
        <vt:lpwstr>http://www.acac-aomori.jp/</vt:lpwstr>
      </vt:variant>
      <vt:variant>
        <vt:lpwstr/>
      </vt:variant>
      <vt:variant>
        <vt:i4>917598</vt:i4>
      </vt:variant>
      <vt:variant>
        <vt:i4>3</vt:i4>
      </vt:variant>
      <vt:variant>
        <vt:i4>0</vt:i4>
      </vt:variant>
      <vt:variant>
        <vt:i4>5</vt:i4>
      </vt:variant>
      <vt:variant>
        <vt:lpwstr>http://sannaimaruyama.pref.aomori.jp/about/main.html</vt:lpwstr>
      </vt:variant>
      <vt:variant>
        <vt:lpwstr/>
      </vt:variant>
      <vt:variant>
        <vt:i4>4194316</vt:i4>
      </vt:variant>
      <vt:variant>
        <vt:i4>0</vt:i4>
      </vt:variant>
      <vt:variant>
        <vt:i4>0</vt:i4>
      </vt:variant>
      <vt:variant>
        <vt:i4>5</vt:i4>
      </vt:variant>
      <vt:variant>
        <vt:lpwstr>http://www.aomori-museum.jp/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 Martinez</dc:creator>
  <cp:lastModifiedBy>Pallash</cp:lastModifiedBy>
  <cp:revision>2</cp:revision>
  <dcterms:created xsi:type="dcterms:W3CDTF">2015-07-30T20:39:00Z</dcterms:created>
  <dcterms:modified xsi:type="dcterms:W3CDTF">2015-07-30T20:39:00Z</dcterms:modified>
</cp:coreProperties>
</file>