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คู่มือท่องเที่ยวเกาะเสม็ด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ใครต่อใครก็ตกหลุมรักเกาะเสม็ดหากมีโอกาสได้มาเที่ยว ชายหาดสีขาว น้ำทะเลสีฟ้าครามที่รายล้อมไปด้วยหมู่ปะการังน้อยใหญ่ จึงเป็นจุดเล่นน้ำและดำน้ำของคนรักชายหาดและทะเล ตกกลางคืนก็ลงเรือไปกับชาวประมงไปไดปลาหมึก เดินเล่นเก็บเปลือกหอยบนหาดทรายแก้ว หรือบริเวณอ่าววงเดือน จะทำให้คุณลืมทุกอย่าง แล้วตวงความสุขใส่กระเป๋ากลับบ้าน ต่อจากนั้นก็เดินไปถ่ายรูปกับรูปปั้นพระอภัยมณี และนางผีเสื้อสมุทรเพื่อรำลึกถึงกวีสุนทรภู่ พอตะวันลับฟ้าไปก็ออกมานั่งจิบเบียร์ที่บาร์ริมหาดสักแห่ง ชมโชว์ควงกระบองไฟอันน่าตื่นตาตื่นใจที่อ่าววงเดือน หรือหาดทรายแก้ว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หาดทรายแก้วดูจะเป็นชื่อที่เหมาะกับชายหาดบริเวณนี้ ด้วยเม็ดทรายสีขาว ละเอียดราวกับหิมะ พร้อมน้ำทะเลสีเทอร์ควอยซ์ใสแจ๋ว บริเวณนี้มีร้านอาหารและบาร์ริมหาด บรรยากาศน่านั่งหลายแห่ง รวมถึงที่พักสุดหรูก็เรียงรายอยู่บนหาดทรายแก้ว พอนอนอาบแดดสมใจแล้ว ก็พักปรนเปรอร่างกายด้วยค้อกเทลเย็นฉ่ำสักแก้ว จะเล่นโยคะผ่อนคลายกล้ามเนื้อ หรือจะออกไปตกปลาก็ดี พอฟ้ามืดลงค่อยออกมาสูดอากาศข้างนอก จิบเบียร์ นั่งคุยกับเพื่อนหน้าใหม่ที่บาร์สักแห่ง อาทิ Silversand แล้วรอชมโชว์ควงกระบองไฟได้ริมหาดนี้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Silversand Bar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 จังหวัดระยอง 21160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https://www.facebook.com/pages/Silversand-Bar-Koh-Samed/134524473260758?fref=ts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โยคะ หมู่บ้านทะเลรีสอร์ท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1/8 หมู่ 4 บ้านแพ อ่าวน้อยหน่า เกาะเสม็ด จังหวัดระยอง 21160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+66 8 1 838 8682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http://www.moobantalay.com/rejuvenate.html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อ่าววงเดือน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อ่าววงเดือนทอดตัวยาว 500 เมตร เป็นรูปทรงพระจันทร์เสี้ยว เป็นจุดชมพระอาทิตย์ขึ้นที่สวยงามมาก เม็ดทรายสีขาวบริสุทธิ์ และน้ำทะเลใสเหมือนที่หาดทรายแก้ว เหมาะสำหรับคนที่แสวงหาความสงบ นอนอาบแดดกับแฟน ลงเล่นน้ำกับครอบครัว หรือจะนั่งตากลมทะเลที่โชยเข้าฝั่งเบาๆ ก็ช่วยเติมความสุขและรอยยิ้มได้ไม่น้อย นักท่องเที่ยวมักแวะทานซีฟู๊ดสดใหม่ตามร้านอาหารย่านนี้ เพราะวิวสวย ได้บรรยากาศยามเย็นของอ่าวไทย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 Horse Restaurant 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63 หมู่ 4 ตำบลแพ อำเภอเมือง จังหวัดระยอง 21160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+66 38 644 276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https://www.facebook.com/pages/Sea-horse-Samed/270622409637132?fref=ts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ร้านอาหารเสม็ดคาบานา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13/20 หมู่ 4 หาดวงเดือน เกาะเสม็ด ตำบลแพ อำเภอเมือง จังหวัดระยอง 21160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22603 592 - 5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http://www.samedcabana.com/restaurant.html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