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tbl>
      <w:tblPr>
        <w:tblStyle w:val="myOwnTableStyle"/>
        <w:tblW w:w="0" w:type="auto"/>
        <w:tblInd w:w="8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672"/>
        <w:gridCol w:w="6672"/>
      </w:tblGrid>
      <w:tr>
        <w:trPr/>
        <w:tc>
          <w:tcPr>
            <w:tcW w:w="383" w:type="dxa"/>
            <w:tcBorders/>
            <w:vAlign w:val="top"/>
          </w:tcPr>
          <w:p>
            <w:r>
              <w:rPr>
                <w:rFonts w:ascii="Arial"/>
                <w:lang w:bidi="ar-sa"/>
              </w:rPr>
              <w:t>1</w:t>
            </w:r>
          </w:p>
        </w:tc>
        <w:tc>
          <w:tcPr>
            <w:tcW w:w="1338" w:type="dxa"/>
            <w:tcBorders/>
            <w:vAlign w:val="top"/>
          </w:tcPr>
          <w:p>
            <w:r>
              <w:rPr>
                <w:b w:val="1"/>
                <w:rFonts w:ascii="Arial"/>
                <w:lang w:bidi="ar-sa"/>
              </w:rPr>
              <w:t>Content name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Lisbon city guide - ageing taverns, appetising cookery and astonishing history</w:t>
            </w:r>
          </w:p>
        </w:tc>
        <w:tc>
          <w:tcPr>
            <w:tcW w:w="6672" w:type="dxa"/>
            <w:tcBorders/>
            <w:vAlign w:val="top"/>
          </w:tcPr>
          <w:p>
            <w:r>
              <w:rPr>
                <w:rFonts w:ascii="Arial"/>
                <w:lang w:bidi="ar-sa"/>
              </w:rPr>
              <w:t>Guia da cidade de Lisboa – tabernas antigas, culinária apetitosa e uma história formidável</w:t>
            </w:r>
          </w:p>
        </w:tc>
      </w:tr>
      <w:tr>
        <w:trPr/>
        <w:tc>
          <w:tcPr>
            <w:tcW w:w="383" w:type="dxa"/>
            <w:tcBorders/>
            <w:vAlign w:val="top"/>
            <w:shd w:val="clear" w:color="auto" w:fill="C8C8C8"/>
          </w:tcPr>
          <w:p>
            <w:r>
              <w:rPr>
                <w:rFonts w:ascii="Arial"/>
                <w:lang w:bidi="ar-sa"/>
              </w:rPr>
              <w:t>2</w:t>
            </w:r>
          </w:p>
        </w:tc>
        <w:tc>
          <w:tcPr>
            <w:tcW w:w="1338" w:type="dxa"/>
            <w:tcBorders/>
            <w:vAlign w:val="top"/>
            <w:shd w:val="clear" w:color="auto" w:fill="C8C8C8"/>
          </w:tcPr>
          <w:p>
            <w:r>
              <w:rPr>
                <w:b w:val="1"/>
                <w:rFonts w:ascii="Arial"/>
                <w:lang w:bidi="ar-sa"/>
              </w:rPr>
              <w:t>POS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HCOM_BR</w:t>
            </w:r>
          </w:p>
        </w:tc>
        <w:tc>
          <w:tcPr>
            <w:tcW w:w="6672" w:type="dxa"/>
            <w:tcBorders/>
            <w:vAlign w:val="top"/>
            <w:shd w:val="clear" w:color="auto" w:fill="C8C8C8"/>
          </w:tcPr>
          <w:p>
            <w:r>
              <w:rPr>
                <w:rFonts w:ascii="Arial"/>
                <w:lang w:bidi="ar-sa"/>
              </w:rPr>
              <w:t>HCOM_BR</w:t>
            </w:r>
          </w:p>
        </w:tc>
      </w:tr>
      <w:tr>
        <w:trPr/>
        <w:tc>
          <w:tcPr>
            <w:tcW w:w="383" w:type="dxa"/>
            <w:tcBorders/>
            <w:vAlign w:val="top"/>
            <w:shd w:val="clear" w:color="auto" w:fill="C8C8C8"/>
          </w:tcPr>
          <w:p>
            <w:r>
              <w:rPr>
                <w:rFonts w:ascii="Arial"/>
                <w:lang w:bidi="ar-sa"/>
              </w:rPr>
              <w:t>3</w:t>
            </w:r>
          </w:p>
        </w:tc>
        <w:tc>
          <w:tcPr>
            <w:tcW w:w="1338" w:type="dxa"/>
            <w:tcBorders/>
            <w:vAlign w:val="top"/>
            <w:shd w:val="clear" w:color="auto" w:fill="C8C8C8"/>
          </w:tcPr>
          <w:p>
            <w:r>
              <w:rPr>
                <w:b w:val="1"/>
                <w:rFonts w:ascii="Arial"/>
                <w:lang w:bidi="ar-sa"/>
              </w:rPr>
              <w:t>Locale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pt_BR</w:t>
            </w:r>
          </w:p>
        </w:tc>
        <w:tc>
          <w:tcPr>
            <w:tcW w:w="6672" w:type="dxa"/>
            <w:tcBorders/>
            <w:vAlign w:val="top"/>
            <w:shd w:val="clear" w:color="auto" w:fill="C8C8C8"/>
          </w:tcPr>
          <w:p>
            <w:r>
              <w:rPr>
                <w:rFonts w:ascii="Arial"/>
                <w:lang w:bidi="ar-sa"/>
              </w:rPr>
              <w:t>pt_BR</w:t>
            </w:r>
          </w:p>
        </w:tc>
      </w:tr>
      <w:tr>
        <w:trPr/>
        <w:tc>
          <w:tcPr>
            <w:tcW w:w="383" w:type="dxa"/>
            <w:tcBorders/>
            <w:vAlign w:val="top"/>
            <w:shd w:val="clear" w:color="auto" w:fill="C8C8C8"/>
          </w:tcPr>
          <w:p>
            <w:r>
              <w:rPr>
                <w:rFonts w:ascii="Arial"/>
                <w:lang w:bidi="ar-sa"/>
              </w:rPr>
              <w:t>4</w:t>
            </w:r>
          </w:p>
        </w:tc>
        <w:tc>
          <w:tcPr>
            <w:tcW w:w="1338" w:type="dxa"/>
            <w:tcBorders/>
            <w:vAlign w:val="top"/>
            <w:shd w:val="clear" w:color="auto" w:fill="C8C8C8"/>
          </w:tcPr>
          <w:p>
            <w:r>
              <w:rPr>
                <w:b w:val="1"/>
                <w:rFonts w:ascii="Arial"/>
                <w:lang w:bidi="ar-sa"/>
              </w:rPr>
              <w:t>URL friendly part</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Lisbon-city-guide-ageing-taverns-appetising-cookery-and-astonishing-history</w:t>
            </w:r>
          </w:p>
        </w:tc>
        <w:tc>
          <w:tcPr>
            <w:tcW w:w="6672" w:type="dxa"/>
            <w:tcBorders/>
            <w:vAlign w:val="top"/>
            <w:shd w:val="clear" w:color="auto" w:fill="C8C8C8"/>
          </w:tcPr>
          <w:p>
            <w:r>
              <w:rPr>
                <w:rFonts w:ascii="Arial"/>
                <w:lang w:bidi="ar-sa"/>
              </w:rPr>
              <w:t>Lisbon-city-guide-ageing-taverns-appetising-cookery-and-astonishing-history</w:t>
            </w:r>
          </w:p>
        </w:tc>
      </w:tr>
      <w:tr>
        <w:trPr/>
        <w:tc>
          <w:tcPr>
            <w:tcW w:w="383" w:type="dxa"/>
            <w:tcBorders/>
            <w:vAlign w:val="top"/>
            <w:shd w:val="clear" w:color="auto" w:fill="C8C8C8"/>
          </w:tcPr>
          <w:p>
            <w:r>
              <w:rPr>
                <w:rFonts w:ascii="Arial"/>
                <w:lang w:bidi="ar-sa"/>
              </w:rPr>
              <w:t>5</w:t>
            </w:r>
          </w:p>
        </w:tc>
        <w:tc>
          <w:tcPr>
            <w:tcW w:w="1338" w:type="dxa"/>
            <w:tcBorders/>
            <w:vAlign w:val="top"/>
            <w:shd w:val="clear" w:color="auto" w:fill="C8C8C8"/>
          </w:tcPr>
          <w:p>
            <w:r>
              <w:rPr>
                <w:b w:val="1"/>
                <w:rFonts w:ascii="Arial"/>
                <w:lang w:bidi="ar-sa"/>
              </w:rPr>
              <w:t>Channels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83" w:type="dxa"/>
            <w:tcBorders/>
            <w:vAlign w:val="top"/>
            <w:shd w:val="clear" w:color="auto" w:fill="C8C8C8"/>
          </w:tcPr>
          <w:p>
            <w:r>
              <w:rPr>
                <w:rFonts w:ascii="Arial"/>
                <w:lang w:bidi="ar-sa"/>
              </w:rPr>
              <w:t>6</w:t>
            </w:r>
          </w:p>
        </w:tc>
        <w:tc>
          <w:tcPr>
            <w:tcW w:w="1338" w:type="dxa"/>
            <w:tcBorders/>
            <w:vAlign w:val="top"/>
            <w:shd w:val="clear" w:color="auto" w:fill="C8C8C8"/>
          </w:tcPr>
          <w:p>
            <w:r>
              <w:rPr>
                <w:b w:val="1"/>
                <w:rFonts w:ascii="Arial"/>
                <w:lang w:bidi="ar-sa"/>
              </w:rPr>
              <w:t>Go live date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41674</w:t>
            </w:r>
          </w:p>
        </w:tc>
        <w:tc>
          <w:tcPr>
            <w:tcW w:w="6672" w:type="dxa"/>
            <w:tcBorders/>
            <w:vAlign w:val="top"/>
            <w:shd w:val="clear" w:color="auto" w:fill="C8C8C8"/>
          </w:tcPr>
          <w:p>
            <w:r>
              <w:rPr>
                <w:rFonts w:ascii="Arial"/>
                <w:lang w:bidi="ar-sa"/>
              </w:rPr>
              <w:t>41674</w:t>
            </w:r>
          </w:p>
        </w:tc>
      </w:tr>
      <w:tr>
        <w:trPr/>
        <w:tc>
          <w:tcPr>
            <w:tcW w:w="383" w:type="dxa"/>
            <w:tcBorders/>
            <w:vAlign w:val="top"/>
            <w:shd w:val="clear" w:color="auto" w:fill="C8C8C8"/>
          </w:tcPr>
          <w:p>
            <w:r>
              <w:rPr>
                <w:rFonts w:ascii="Arial"/>
                <w:lang w:bidi="ar-sa"/>
              </w:rPr>
              <w:t>7</w:t>
            </w:r>
          </w:p>
        </w:tc>
        <w:tc>
          <w:tcPr>
            <w:tcW w:w="1338" w:type="dxa"/>
            <w:tcBorders/>
            <w:vAlign w:val="top"/>
            <w:shd w:val="clear" w:color="auto" w:fill="C8C8C8"/>
          </w:tcPr>
          <w:p>
            <w:r>
              <w:rPr>
                <w:b w:val="1"/>
                <w:rFonts w:ascii="Arial"/>
                <w:lang w:bidi="ar-sa"/>
              </w:rPr>
              <w:t>Tags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City Guide</w:t>
            </w:r>
          </w:p>
        </w:tc>
        <w:tc>
          <w:tcPr>
            <w:tcW w:w="6672" w:type="dxa"/>
            <w:tcBorders/>
            <w:vAlign w:val="top"/>
            <w:shd w:val="clear" w:color="auto" w:fill="C8C8C8"/>
          </w:tcPr>
          <w:p>
            <w:r>
              <w:rPr>
                <w:rFonts w:ascii="Arial"/>
                <w:lang w:bidi="ar-sa"/>
              </w:rPr>
              <w:t>City Guide</w:t>
            </w:r>
          </w:p>
        </w:tc>
      </w:tr>
      <w:tr>
        <w:trPr/>
        <w:tc>
          <w:tcPr>
            <w:tcW w:w="383" w:type="dxa"/>
            <w:tcBorders/>
            <w:vAlign w:val="top"/>
            <w:shd w:val="clear" w:color="auto" w:fill="C8C8C8"/>
          </w:tcPr>
          <w:p>
            <w:r>
              <w:rPr>
                <w:rFonts w:ascii="Arial"/>
                <w:lang w:bidi="ar-sa"/>
              </w:rPr>
              <w:t>8</w:t>
            </w:r>
          </w:p>
        </w:tc>
        <w:tc>
          <w:tcPr>
            <w:tcW w:w="1338" w:type="dxa"/>
            <w:tcBorders/>
            <w:vAlign w:val="top"/>
            <w:shd w:val="clear" w:color="auto" w:fill="C8C8C8"/>
          </w:tcPr>
          <w:p>
            <w:r>
              <w:rPr>
                <w:b w:val="1"/>
                <w:rFonts w:ascii="Arial"/>
                <w:lang w:bidi="ar-sa"/>
              </w:rPr>
              <w:t>Destination</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Lisbon  Portugal (1063515)</w:t>
            </w:r>
          </w:p>
        </w:tc>
        <w:tc>
          <w:tcPr>
            <w:tcW w:w="6672" w:type="dxa"/>
            <w:tcBorders/>
            <w:vAlign w:val="top"/>
            <w:shd w:val="clear" w:color="auto" w:fill="C8C8C8"/>
          </w:tcPr>
          <w:p>
            <w:r>
              <w:rPr>
                <w:rFonts w:ascii="Arial"/>
                <w:lang w:bidi="ar-sa"/>
              </w:rPr>
              <w:t>Lisbon  Portugal (1063515)</w:t>
            </w:r>
          </w:p>
        </w:tc>
      </w:tr>
      <w:tr>
        <w:trPr/>
        <w:tc>
          <w:tcPr>
            <w:tcW w:w="383" w:type="dxa"/>
            <w:tcBorders/>
            <w:vAlign w:val="top"/>
            <w:shd w:val="clear" w:color="auto" w:fill="C8C8C8"/>
          </w:tcPr>
          <w:p>
            <w:r>
              <w:rPr>
                <w:rFonts w:ascii="Arial"/>
                <w:lang w:bidi="ar-sa"/>
              </w:rPr>
              <w:t>9</w:t>
            </w:r>
          </w:p>
        </w:tc>
        <w:tc>
          <w:tcPr>
            <w:tcW w:w="1338" w:type="dxa"/>
            <w:tcBorders/>
            <w:vAlign w:val="top"/>
            <w:shd w:val="clear" w:color="auto" w:fill="C8C8C8"/>
          </w:tcPr>
          <w:p>
            <w:r>
              <w:rPr>
                <w:b w:val="1"/>
                <w:rFonts w:ascii="Arial"/>
                <w:lang w:bidi="ar-sa"/>
              </w:rPr>
              <w:t>Article title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Lisbon city guide - ageing taverns, appetising cookery and astonishing history</w:t>
            </w:r>
          </w:p>
        </w:tc>
        <w:tc>
          <w:tcPr>
            <w:tcW w:w="6672" w:type="dxa"/>
            <w:tcBorders/>
            <w:vAlign w:val="top"/>
            <w:shd w:val="clear" w:color="auto" w:fill="C8C8C8"/>
          </w:tcPr>
          <w:p>
            <w:r>
              <w:rPr>
                <w:rFonts w:ascii="Arial"/>
                <w:lang w:bidi="ar-sa"/>
              </w:rPr>
              <w:t>Lisbon city guide - ageing taverns, appetising cookery and astonishing history</w:t>
            </w:r>
          </w:p>
        </w:tc>
      </w:tr>
      <w:tr>
        <w:trPr/>
        <w:tc>
          <w:tcPr>
            <w:tcW w:w="383" w:type="dxa"/>
            <w:tcBorders/>
            <w:vAlign w:val="top"/>
            <w:shd w:val="clear" w:color="auto" w:fill="C8C8C8"/>
          </w:tcPr>
          <w:p>
            <w:r>
              <w:rPr>
                <w:rFonts w:ascii="Arial"/>
                <w:lang w:bidi="ar-sa"/>
              </w:rPr>
              <w:lastRenderedPageBreak/>
            </w:r>
            <w:r>
              <w:rPr>
                <w:rFonts w:ascii="Arial"/>
                <w:lang w:bidi="ar-sa"/>
              </w:rPr>
              <w:t>10</w:t>
            </w:r>
          </w:p>
        </w:tc>
        <w:tc>
          <w:tcPr>
            <w:tcW w:w="1338" w:type="dxa"/>
            <w:tcBorders/>
            <w:vAlign w:val="top"/>
            <w:shd w:val="clear" w:color="auto" w:fill="C8C8C8"/>
          </w:tcPr>
          <w:p>
            <w:r>
              <w:rPr>
                <w:b w:val="1"/>
                <w:rFonts w:ascii="Arial"/>
                <w:lang w:bidi="ar-sa"/>
              </w:rPr>
              <w:t>Main image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default/lisbon_0_CXBM0A.jpg</w:t>
            </w:r>
          </w:p>
        </w:tc>
        <w:tc>
          <w:tcPr>
            <w:tcW w:w="6672" w:type="dxa"/>
            <w:tcBorders/>
            <w:vAlign w:val="top"/>
            <w:shd w:val="clear" w:color="auto" w:fill="C8C8C8"/>
          </w:tcPr>
          <w:p>
            <w:r>
              <w:rPr>
                <w:rFonts w:ascii="Arial"/>
                <w:lang w:bidi="ar-sa"/>
              </w:rPr>
              <w:t>default/lisbon_0_CXBM0A.jpg</w:t>
            </w:r>
          </w:p>
        </w:tc>
      </w:tr>
      <w:tr>
        <w:trPr/>
        <w:tc>
          <w:tcPr>
            <w:tcW w:w="383" w:type="dxa"/>
            <w:tcBorders/>
            <w:vAlign w:val="top"/>
          </w:tcPr>
          <w:p>
            <w:r>
              <w:rPr>
                <w:rFonts w:ascii="Arial"/>
                <w:lang w:bidi="ar-sa"/>
              </w:rPr>
              <w:t>11</w:t>
            </w:r>
          </w:p>
        </w:tc>
        <w:tc>
          <w:tcPr>
            <w:tcW w:w="1338" w:type="dxa"/>
            <w:tcBorders/>
            <w:vAlign w:val="top"/>
          </w:tcPr>
          <w:p>
            <w:r>
              <w:rPr>
                <w:b w:val="1"/>
                <w:rFonts w:ascii="Arial"/>
                <w:lang w:bidi="ar-sa"/>
              </w:rPr>
              <w:t>Introduction</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Laced with twisting cobbled streets and tram lines on hilly terrains, Lisbon is one of the oldest cities in the world. But with its mixture of delectable cuisine, bustling bars, lively street music and historical sites, it is far from being outdated. Green open spaces, nearby beaches, rustic neighborhoods and an energetic nightlife work together to create a European city break worth taking.</w:t>
            </w:r>
          </w:p>
          <w:p/>
          <w:p>
            <w:r>
              <w:rPr>
                <w:color w:val="0000FF"/>
                <w:rFonts w:ascii="Arial"/>
                <w:lang w:bidi="ar-sa"/>
              </w:rPr>
              <w:t>&lt;/p&gt;</w:t>
            </w:r>
          </w:p>
          <w:p/>
        </w:tc>
        <w:tc>
          <w:tcPr>
            <w:tcW w:w="6672" w:type="dxa"/>
            <w:tcBorders/>
            <w:vAlign w:val="top"/>
          </w:tcPr>
          <w:p>
            <w:r>
              <w:rPr>
                <w:color w:val="0000FF"/>
                <w:rFonts w:ascii="Arial"/>
                <w:lang w:bidi="ar-sa"/>
              </w:rPr>
              <w:t>&lt;p&gt;</w:t>
            </w:r>
          </w:p>
          <w:p/>
          <w:p>
            <w:r>
              <w:rPr>
                <w:rFonts w:ascii="Arial"/>
                <w:lang w:bidi="ar-sa"/>
              </w:rPr>
              <w:t>Decorada com sinuosas ruas de calçamento e trilhos de bonde em terrenos acidentados, Lisboa é uma das cidades mais antigas do mundo. Mas com sua mistura de cozinha deliciosa, bares animados, alegre música de rua e sítios históricos, a cidade está longe de ser ultrapassada. Espaços verdes, praias nas imediações, bairros rústicos e uma vida noturna energética combinam-se para criar um destino urbano europeu que realmente vale a pena.</w:t>
            </w:r>
          </w:p>
          <w:p/>
          <w:p>
            <w:r>
              <w:rPr>
                <w:color w:val="0000FF"/>
                <w:rFonts w:ascii="Arial"/>
                <w:lang w:bidi="ar-sa"/>
              </w:rPr>
              <w:t>&lt;/p&gt;</w:t>
            </w:r>
          </w:p>
          <w:p/>
        </w:tc>
      </w:tr>
      <w:tr>
        <w:trPr/>
        <w:tc>
          <w:tcPr>
            <w:tcW w:w="383" w:type="dxa"/>
            <w:tcBorders/>
            <w:vAlign w:val="top"/>
          </w:tcPr>
          <w:p>
            <w:r>
              <w:rPr>
                <w:rFonts w:ascii="Arial"/>
                <w:lang w:bidi="ar-sa"/>
              </w:rPr>
              <w:t>12</w:t>
            </w:r>
          </w:p>
        </w:tc>
        <w:tc>
          <w:tcPr>
            <w:tcW w:w="1338" w:type="dxa"/>
            <w:tcBorders/>
            <w:vAlign w:val="top"/>
          </w:tcPr>
          <w:p>
            <w:r>
              <w:rPr>
                <w:b w:val="1"/>
                <w:rFonts w:ascii="Arial"/>
                <w:lang w:bidi="ar-sa"/>
              </w:rPr>
              <w:t>Body</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What to see</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Avenida da Liberdade, Avenida da Republica and Avenida Fontes Pereira de Melo are just some of the historical boulevards scattered in the upper districts of Lisbon. The city itself is overflowing with sights to see that spill the capital's past and heritage. Lisbon's rich maritime history can be explored by the harbor, where visitors and locals flock to visit the Belém Tower and Jerónimos Monastery, both listed as World Heritage Sites. The Castelo de São Jorge sits on top of one of the tallest hills in the city, overlooking the metropolis and Tagus River.</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p>
            <w:r>
              <w:rPr>
                <w:rFonts w:ascii="Arial"/>
                <w:lang w:bidi="ar-sa"/>
              </w:rPr>
              <w:t>O que ver</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pPr>
              <w:tabs>
                <w:tab w:val="left" w:pos="1260"/>
              </w:tabs>
            </w:pPr>
            <w:r>
              <w:rPr>
                <w:rFonts w:ascii="Arial"/>
                <w:lang w:bidi="ar-sa"/>
              </w:rPr>
              <w:t xml:space="preserve">Avenida da Liberdade, Avenida da Republica e Avenida Fontes Pereira de Melo são somente alguns dos bulevares espalhados pelos bairros altos de Lisboa. A cidade está repleta de atrações que transbordam de heranças históricas da capital. A rica história marítima de Lisboa pode ser explorada no porto, para onde os turistas e os locais se dirigem para visitar a Torre de Belém e o Monastério de Jerónimos, ambos listados como Patrimônios da Humanidade. O Castelo de São Jorge está localizado no alto de uma das colinas mais altas da cidade, velando pela metrópole e o Rio Tejo. </w:t>
            </w:r>
          </w:p>
          <w:p/>
          <w:p/>
          <w:p>
            <w:r>
              <w:rPr>
                <w:color w:val="0000FF"/>
                <w:rFonts w:ascii="Arial"/>
                <w:lang w:bidi="ar-sa"/>
              </w:rPr>
              <w:t>&lt;p&gt;</w:t>
            </w:r>
          </w:p>
          <w:p/>
          <w:p>
            <w:r>
              <w:rPr>
                <w:color w:val="0000FF"/>
                <w:rFonts w:ascii="Arial"/>
                <w:lang w:bidi="ar-sa"/>
              </w:rPr>
              <w:t>&lt;/p&gt;</w:t>
            </w:r>
          </w:p>
          <w:p/>
        </w:tc>
      </w:tr>
      <w:tr>
        <w:trPr/>
        <w:tc>
          <w:tcPr>
            <w:tcW w:w="383" w:type="dxa"/>
            <w:tcBorders/>
            <w:vAlign w:val="top"/>
          </w:tcPr>
          <w:p>
            <w:r>
              <w:rPr>
                <w:rFonts w:ascii="Arial"/>
                <w:lang w:bidi="ar-sa"/>
              </w:rPr>
              <w:lastRenderedPageBreak/>
            </w:r>
            <w:r>
              <w:rPr>
                <w:rFonts w:ascii="Arial"/>
                <w:lang w:bidi="ar-sa"/>
              </w:rPr>
              <w:t>13</w:t>
            </w:r>
          </w:p>
        </w:tc>
        <w:tc>
          <w:tcPr>
            <w:tcW w:w="1338" w:type="dxa"/>
            <w:tcBorders/>
            <w:vAlign w:val="top"/>
          </w:tcPr>
          <w:p>
            <w:r>
              <w:rPr>
                <w:b w:val="1"/>
                <w:rFonts w:ascii="Arial"/>
                <w:lang w:bidi="ar-sa"/>
              </w:rPr>
              <w:t>Body 2</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Where to go</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lastRenderedPageBreak/>
            </w:r>
            <w:r>
              <w:rPr>
                <w:color w:val="0000FF"/>
                <w:rFonts w:ascii="Arial"/>
                <w:lang w:bidi="ar-sa"/>
              </w:rPr>
              <w:t>&lt;/p&gt;</w:t>
            </w:r>
          </w:p>
          <w:p/>
          <w:p>
            <w:r>
              <w:rPr>
                <w:rFonts w:ascii="Arial"/>
                <w:lang w:bidi="ar-sa"/>
              </w:rPr>
              <w:t>Alfama is the oldest neighborhood in Lisbon; filled with picturesque houses, small restaurants and famous viewpoints, this Moorisch quarter is worth exploring for its historical attractions. Lisbonites and visitors head to the Pombaline Downtown area of the city to relax, shop and explore Rossio Square. The Port of Lisbon is scattered with cafés, eateries and a wealth of cultural attractions, whilst the nearby Arrábida Natural Park is full of pines, rich vegetation and spectacular views. A twenty minute journey can lead you to Costa da Caparica, or one of the other beaches lying close to Lisbon where you can find stretches of golden sand.</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Eating and drinking</w:t>
            </w:r>
          </w:p>
          <w:p/>
          <w:p>
            <w:r>
              <w:rPr>
                <w:color w:val="0000FF"/>
                <w:rFonts w:ascii="Arial"/>
                <w:lang w:bidi="ar-sa"/>
              </w:rPr>
              <w:t>&lt;/strong&gt;</w:t>
            </w:r>
          </w:p>
          <w:p/>
          <w:p>
            <w:r>
              <w:rPr>
                <w:color w:val="0000FF"/>
                <w:rFonts w:ascii="Arial"/>
                <w:lang w:bidi="ar-sa"/>
              </w:rPr>
              <w:t>&lt;p&gt;</w:t>
            </w:r>
          </w:p>
          <w:p/>
          <w:p>
            <w:r>
              <w:rPr>
                <w:rFonts w:ascii="Arial"/>
                <w:lang w:bidi="ar-sa"/>
              </w:rPr>
              <w:lastRenderedPageBreak/>
            </w:r>
            <w:r>
              <w:rPr>
                <w:rFonts w:ascii="Arial"/>
                <w:lang w:bidi="ar-sa"/>
              </w:rPr>
              <w:t> </w:t>
            </w:r>
          </w:p>
          <w:p/>
          <w:p>
            <w:r>
              <w:rPr>
                <w:color w:val="0000FF"/>
                <w:rFonts w:ascii="Arial"/>
                <w:lang w:bidi="ar-sa"/>
              </w:rPr>
              <w:t>&lt;/p&gt;</w:t>
            </w:r>
          </w:p>
          <w:p/>
          <w:p>
            <w:r>
              <w:rPr>
                <w:rFonts w:ascii="Arial"/>
                <w:lang w:bidi="ar-sa"/>
              </w:rPr>
              <w:t>An extensive stretch of restaurants can be found along Rua das Portas de Santo antão and Rio Tejo, with the speciality being fresh seafood. A three-course set lunch or dinner menu can be scooped up for roughly EUR15 from most local restaurants and cafés, serving up traditional Portuguese dishes at reasonable prices. Café Nicola has stood in the city square since the 18th Century, with café culture being the pride of Lisbon city. Ginijinha, the typical spirit of Lisbon, can be tried in most restaurants or picked up in shops in Rossio Square too, whilst local markets stock a range of fresh and local foods to try out.</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Nightlife</w:t>
            </w:r>
          </w:p>
          <w:p/>
          <w:p>
            <w:r>
              <w:rPr>
                <w:color w:val="0000FF"/>
                <w:rFonts w:ascii="Arial"/>
                <w:lang w:bidi="ar-sa"/>
              </w:rPr>
              <w:t>&lt;/strong&gt;</w:t>
            </w:r>
          </w:p>
          <w:p/>
          <w:p>
            <w:r>
              <w:rPr>
                <w:color w:val="0000FF"/>
                <w:rFonts w:ascii="Arial"/>
                <w:lang w:bidi="ar-sa"/>
              </w:rPr>
              <w:lastRenderedPageBreak/>
            </w:r>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The central district of Bairro Alto mixes old taverns with designer bars and clubs that can be explored throughout the night, although most people start here before splitting off. One of Europe's biggest weekly parties is held within the quarter and whilst the drinks can be a little expensive, few places charge for entrance. Alfama and Graça offer a few places for a nightcap, but most Lisbonites head to the classy venues near Santos of an evening or to the more commercial clubs of Docas. The renowned club Lux along the riverfront by the Santa Apolónia station is a taxi-ride away from central Lisbon and sits amongst big warehouse clubs which open late and close early in the morning.</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r>
              <w:rPr>
                <w:rFonts w:ascii="Arial"/>
                <w:lang w:bidi="ar-sa"/>
              </w:rPr>
              <w:t>Onde ir</w:t>
            </w:r>
          </w:p>
          <w:p/>
          <w:p/>
          <w:p>
            <w:r>
              <w:rPr>
                <w:color w:val="0000FF"/>
                <w:rFonts w:ascii="Arial"/>
                <w:lang w:bidi="ar-sa"/>
              </w:rPr>
              <w:t>&lt;/strong&gt;</w:t>
            </w:r>
          </w:p>
          <w:p/>
          <w:p>
            <w:r>
              <w:rPr>
                <w:color w:val="0000FF"/>
                <w:rFonts w:ascii="Arial"/>
                <w:lang w:bidi="ar-sa"/>
              </w:rPr>
              <w:t>&lt;p&gt;</w:t>
            </w:r>
          </w:p>
          <w:p/>
          <w:p/>
          <w:p/>
          <w:p>
            <w:r>
              <w:rPr>
                <w:color w:val="0000FF"/>
                <w:rFonts w:ascii="Arial"/>
                <w:lang w:bidi="ar-sa"/>
              </w:rPr>
              <w:lastRenderedPageBreak/>
            </w:r>
            <w:r>
              <w:rPr>
                <w:color w:val="0000FF"/>
                <w:rFonts w:ascii="Arial"/>
                <w:lang w:bidi="ar-sa"/>
              </w:rPr>
              <w:t>&lt;/p&gt;</w:t>
            </w:r>
          </w:p>
          <w:p/>
          <w:p>
            <w:r>
              <w:rPr>
                <w:rFonts w:ascii="Arial"/>
                <w:lang w:bidi="ar-sa"/>
              </w:rPr>
              <w:t xml:space="preserve">Alfama é o bairro mais antigo de Lisboa. Repleto de casinhas pitorescas, pequenos restaurantes e mirantes célebres, esse bairro mourisco vale ser explorado por suas atrações históricas. Lisboetas e visitantes dirigem-se à Baixa Pombalina para relaxar, fazer compras e explorar a Praça Rossio. O Porto de Lisboa é cheio de cafés, lanchonetes e uma variedade de atrações culturais, enquanto o Parque Natural de Arrábida, situado nos arredores, está cheio de pinheiros, vegetação rica e vistas espetaculares. Uma jornada de vinte minutos leva você à Costa da Caparica ou a uma das outras praias perto de Lisboa, onde você encontrará longas faixas de areia dourada. </w:t>
            </w:r>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r>
              <w:rPr>
                <w:rFonts w:ascii="Arial"/>
                <w:lang w:bidi="ar-sa"/>
              </w:rPr>
              <w:t>Comida e bebida</w:t>
            </w:r>
          </w:p>
          <w:p/>
          <w:p/>
          <w:p/>
          <w:p>
            <w:r>
              <w:rPr>
                <w:color w:val="0000FF"/>
                <w:rFonts w:ascii="Arial"/>
                <w:lang w:bidi="ar-sa"/>
              </w:rPr>
              <w:t>&lt;/strong&gt;</w:t>
            </w:r>
          </w:p>
          <w:p/>
          <w:p>
            <w:r>
              <w:rPr>
                <w:color w:val="0000FF"/>
                <w:rFonts w:ascii="Arial"/>
                <w:lang w:bidi="ar-sa"/>
              </w:rPr>
              <w:t>&lt;p&gt;</w:t>
            </w:r>
          </w:p>
          <w:p/>
          <w:p>
            <w:pPr>
              <w:rPr>
                <w:color w:val="0000FF"/>
              </w:rPr>
            </w:pPr>
          </w:p>
          <w:p>
            <w:pPr>
              <w:rPr>
                <w:color w:val="0000FF"/>
              </w:rPr>
            </w:pPr>
          </w:p>
          <w:p>
            <w:r>
              <w:rPr>
                <w:color w:val="0000FF"/>
                <w:rFonts w:ascii="Arial"/>
                <w:lang w:bidi="ar-sa"/>
              </w:rPr>
              <w:t>&lt;/p&gt;</w:t>
            </w:r>
          </w:p>
          <w:p/>
          <w:p>
            <w:r>
              <w:rPr>
                <w:rFonts w:ascii="Arial"/>
                <w:lang w:bidi="ar-sa"/>
              </w:rPr>
              <w:t xml:space="preserve">Uma extensa faixa de restaurantes pode ser encontrada ao longo da Rua das Portas de Santo Antão e Rio Tejo, e a especialidade são frutos do mar frescos. Uma refeição de três pratos para o jantar ou almoço pode ser comprada por cerca de 15 euros na maioria dos restaurantes e cafés locais, que servem pratos portugueses tradicionais a preços razoáveis. O Café Nicola está na praça desde o século XVIII, e a cultura de cafés é o orgulho de Lisboa. Ginjinha, a bebida típica de Lisboa, pode ser experimentada na maioria dos restaurantes ou comprada na Praça Rossio também, e os mercados locais oferecem uma ampla variedade de comidas frescas típicas para provar.   </w:t>
            </w:r>
          </w:p>
          <w:p/>
          <w:p>
            <w:r>
              <w:rPr>
                <w:color w:val="0000FF"/>
                <w:rFonts w:ascii="Arial"/>
                <w:lang w:bidi="ar-sa"/>
              </w:rPr>
              <w:t>&lt;p&gt;</w:t>
            </w:r>
          </w:p>
          <w:p/>
          <w:p>
            <w:r>
              <w:rPr>
                <w:color w:val="0000FF"/>
                <w:rFonts w:ascii="Arial"/>
                <w:lang w:bidi="ar-sa"/>
              </w:rPr>
              <w:t>&lt;/p&gt;</w:t>
            </w:r>
          </w:p>
          <w:p/>
          <w:p/>
          <w:p>
            <w:r>
              <w:rPr>
                <w:color w:val="0000FF"/>
                <w:rFonts w:ascii="Arial"/>
                <w:lang w:bidi="ar-sa"/>
              </w:rPr>
              <w:t>&lt;strong&gt;</w:t>
            </w:r>
          </w:p>
          <w:p/>
          <w:p>
            <w:r>
              <w:rPr>
                <w:rFonts w:ascii="Arial"/>
                <w:lang w:bidi="ar-sa"/>
              </w:rPr>
              <w:t>Vida noturna</w:t>
            </w:r>
          </w:p>
          <w:p>
            <w:r>
              <w:rPr>
                <w:color w:val="0000FF"/>
                <w:rFonts w:ascii="Arial"/>
                <w:lang w:bidi="ar-sa"/>
              </w:rPr>
              <w:t>&lt;/strong&gt;</w:t>
            </w:r>
          </w:p>
          <w:p/>
          <w:p/>
          <w:p/>
          <w:p>
            <w:r>
              <w:rPr>
                <w:color w:val="0000FF"/>
                <w:rFonts w:ascii="Arial"/>
                <w:lang w:bidi="ar-sa"/>
              </w:rPr>
              <w:lastRenderedPageBreak/>
            </w:r>
            <w:r>
              <w:rPr>
                <w:color w:val="0000FF"/>
                <w:rFonts w:ascii="Arial"/>
                <w:lang w:bidi="ar-sa"/>
              </w:rPr>
              <w:t>&lt;p&gt;</w:t>
            </w:r>
          </w:p>
          <w:p/>
          <w:p/>
          <w:p/>
          <w:p>
            <w:r>
              <w:rPr>
                <w:color w:val="0000FF"/>
                <w:rFonts w:ascii="Arial"/>
                <w:lang w:bidi="ar-sa"/>
              </w:rPr>
              <w:t>&lt;/p&gt;</w:t>
            </w:r>
          </w:p>
          <w:p/>
          <w:p>
            <w:r>
              <w:rPr>
                <w:rFonts w:ascii="Arial"/>
                <w:lang w:bidi="ar-sa"/>
              </w:rPr>
              <w:t>O distrito central de Bairro Alto mistura tabernas antigas com bares modernos e boates que podem ser explorados durante a noite, e a maioria das pessoas começa a noite aqui antes de se dispersar. Uma das maiores festas semanais da Europa tem lugar nesse quarteirão, e embora as bebidas possam ser um pouco mais caras, poucos locais cobram pela entrada. Alfama e Graça oferecem alguns locais para a balada, mas a maior parte dos lisboetas dirige-se aos estabelecimentos sofisticados próximos a Santos para uma noitada, ou para as boates mais comerciais de Docas. A renomada boate Lux, situada de frente para o rio, próxima à estação Santa Apolônia, fica a uma corrida de táxi do centro de Lisboa e é uma das grandes boates montadas em armazéns, que abrem tarde e fecham de manhã.</w:t>
            </w:r>
          </w:p>
          <w:p/>
          <w:p>
            <w:r>
              <w:rPr>
                <w:color w:val="0000FF"/>
                <w:rFonts w:ascii="Arial"/>
                <w:lang w:bidi="ar-sa"/>
              </w:rPr>
              <w:t>&lt;p&gt;</w:t>
            </w:r>
          </w:p>
          <w:p/>
          <w:p>
            <w:r>
              <w:rPr>
                <w:color w:val="0000FF"/>
                <w:rFonts w:ascii="Arial"/>
                <w:lang w:bidi="ar-sa"/>
              </w:rPr>
              <w:t>&lt;/p&gt;</w:t>
            </w:r>
          </w:p>
          <w:p/>
        </w:tc>
      </w:tr>
      <w:tr>
        <w:trPr/>
        <w:tc>
          <w:tcPr>
            <w:tcW w:w="383" w:type="dxa"/>
            <w:tcBorders/>
            <w:vAlign w:val="top"/>
            <w:shd w:val="clear" w:color="auto" w:fill="C8C8C8"/>
          </w:tcPr>
          <w:p>
            <w:r>
              <w:rPr>
                <w:rFonts w:ascii="Arial"/>
                <w:lang w:bidi="ar-sa"/>
              </w:rPr>
              <w:lastRenderedPageBreak/>
            </w:r>
            <w:r>
              <w:rPr>
                <w:rFonts w:ascii="Arial"/>
                <w:lang w:bidi="ar-sa"/>
              </w:rPr>
              <w:t>14</w:t>
            </w:r>
          </w:p>
        </w:tc>
        <w:tc>
          <w:tcPr>
            <w:tcW w:w="1338" w:type="dxa"/>
            <w:tcBorders/>
            <w:vAlign w:val="top"/>
            <w:shd w:val="clear" w:color="auto" w:fill="C8C8C8"/>
          </w:tcPr>
          <w:p>
            <w:r>
              <w:rPr>
                <w:b w:val="1"/>
                <w:rFonts w:ascii="Arial"/>
                <w:lang w:bidi="ar-sa"/>
              </w:rPr>
              <w:t>Similar destinations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tcPr>
          <w:p>
            <w:r>
              <w:rPr>
                <w:rFonts w:ascii="Arial"/>
                <w:lang w:bidi="ar-sa"/>
              </w:rPr>
              <w:t>15</w:t>
            </w:r>
          </w:p>
        </w:tc>
        <w:tc>
          <w:tcPr>
            <w:tcW w:w="1338" w:type="dxa"/>
            <w:tcBorders/>
            <w:vAlign w:val="top"/>
          </w:tcPr>
          <w:p>
            <w:r>
              <w:rPr>
                <w:b w:val="1"/>
                <w:rFonts w:ascii="Arial"/>
                <w:lang w:bidi="ar-sa"/>
              </w:rPr>
              <w:t>Meta title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Lisbon city guide - ageing taverns, appetising cookery and astonishing history</w:t>
            </w:r>
          </w:p>
        </w:tc>
        <w:tc>
          <w:tcPr>
            <w:tcW w:w="6672" w:type="dxa"/>
            <w:tcBorders/>
            <w:vAlign w:val="top"/>
          </w:tcPr>
          <w:p>
            <w:r>
              <w:rPr>
                <w:rFonts w:ascii="Arial"/>
                <w:lang w:bidi="ar-sa"/>
              </w:rPr>
              <w:t>Guia da cidade de Lisboa – tabernas antigas, culinária apetitosa e uma história formidável</w:t>
            </w:r>
          </w:p>
        </w:tc>
      </w:tr>
      <w:tr>
        <w:trPr/>
        <w:tc>
          <w:tcPr>
            <w:tcW w:w="383" w:type="dxa"/>
            <w:tcBorders/>
            <w:vAlign w:val="top"/>
          </w:tcPr>
          <w:p>
            <w:r>
              <w:rPr>
                <w:rFonts w:ascii="Arial"/>
                <w:lang w:bidi="ar-sa"/>
              </w:rPr>
              <w:lastRenderedPageBreak/>
            </w:r>
            <w:r>
              <w:rPr>
                <w:rFonts w:ascii="Arial"/>
                <w:lang w:bidi="ar-sa"/>
              </w:rPr>
              <w:t>16</w:t>
            </w:r>
          </w:p>
        </w:tc>
        <w:tc>
          <w:tcPr>
            <w:tcW w:w="1338" w:type="dxa"/>
            <w:tcBorders/>
            <w:vAlign w:val="top"/>
          </w:tcPr>
          <w:p>
            <w:r>
              <w:rPr>
                <w:b w:val="1"/>
                <w:rFonts w:ascii="Arial"/>
                <w:lang w:bidi="ar-sa"/>
              </w:rPr>
              <w:t>Meta description</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Lisbon city guide - ageing taverns, appetising cookery and astonishing history</w:t>
            </w:r>
          </w:p>
        </w:tc>
        <w:tc>
          <w:tcPr>
            <w:tcW w:w="6672" w:type="dxa"/>
            <w:tcBorders/>
            <w:vAlign w:val="top"/>
          </w:tcPr>
          <w:p>
            <w:r>
              <w:rPr>
                <w:rFonts w:ascii="Arial"/>
                <w:lang w:bidi="ar-sa"/>
              </w:rPr>
              <w:t>Guia da cidade de Lisboa – tabernas antigas, culinária apetitosa e uma história formidável</w:t>
            </w:r>
          </w:p>
        </w:tc>
      </w:tr>
      <w:tr>
        <w:trPr/>
        <w:tc>
          <w:tcPr>
            <w:tcW w:w="383" w:type="dxa"/>
            <w:tcBorders/>
            <w:vAlign w:val="top"/>
          </w:tcPr>
          <w:p>
            <w:r>
              <w:rPr>
                <w:rFonts w:ascii="Arial"/>
                <w:lang w:bidi="ar-sa"/>
              </w:rPr>
              <w:t>17</w:t>
            </w:r>
          </w:p>
        </w:tc>
        <w:tc>
          <w:tcPr>
            <w:tcW w:w="1338" w:type="dxa"/>
            <w:tcBorders/>
            <w:vAlign w:val="top"/>
          </w:tcPr>
          <w:p>
            <w:r>
              <w:rPr>
                <w:b w:val="1"/>
                <w:rFonts w:ascii="Arial"/>
                <w:lang w:bidi="ar-sa"/>
              </w:rPr>
              <w:t>Meta keywords</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Lisbon, Portugal, city guide, travel guide, Hotels.com</w:t>
            </w:r>
          </w:p>
        </w:tc>
        <w:tc>
          <w:tcPr>
            <w:tcW w:w="6672" w:type="dxa"/>
            <w:tcBorders/>
            <w:vAlign w:val="top"/>
          </w:tcPr>
          <w:p>
            <w:r>
              <w:rPr>
                <w:rFonts w:ascii="Arial"/>
                <w:lang w:bidi="ar-sa"/>
              </w:rPr>
              <w:t xml:space="preserve"> Lisboa, Portugal, guia da cidade, guia de viagem, Hotels.com</w:t>
            </w:r>
          </w:p>
        </w:tc>
      </w:tr>
      <w:tr>
        <w:trPr/>
        <w:tc>
          <w:tcPr>
            <w:tcW w:w="383" w:type="dxa"/>
            <w:tcBorders/>
            <w:vAlign w:val="top"/>
            <w:shd w:val="clear" w:color="auto" w:fill="C8C8C8"/>
          </w:tcPr>
          <w:p>
            <w:r>
              <w:rPr>
                <w:rFonts w:ascii="Arial"/>
                <w:lang w:bidi="ar-sa"/>
              </w:rPr>
              <w:t>18</w:t>
            </w:r>
          </w:p>
        </w:tc>
        <w:tc>
          <w:tcPr>
            <w:tcW w:w="1338" w:type="dxa"/>
            <w:tcBorders/>
            <w:vAlign w:val="top"/>
            <w:shd w:val="clear" w:color="auto" w:fill="C8C8C8"/>
          </w:tcPr>
          <w:p>
            <w:r>
              <w:rPr>
                <w:b w:val="1"/>
                <w:rFonts w:ascii="Arial"/>
                <w:lang w:bidi="ar-sa"/>
              </w:rPr>
              <w:t>Author name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19</w:t>
            </w:r>
          </w:p>
        </w:tc>
        <w:tc>
          <w:tcPr>
            <w:tcW w:w="1338" w:type="dxa"/>
            <w:tcBorders/>
            <w:vAlign w:val="top"/>
            <w:shd w:val="clear" w:color="auto" w:fill="C8C8C8"/>
          </w:tcPr>
          <w:p>
            <w:r>
              <w:rPr>
                <w:b w:val="1"/>
                <w:rFonts w:ascii="Arial"/>
                <w:lang w:bidi="ar-sa"/>
              </w:rPr>
              <w:t>Author title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20</w:t>
            </w:r>
          </w:p>
        </w:tc>
        <w:tc>
          <w:tcPr>
            <w:tcW w:w="1338" w:type="dxa"/>
            <w:tcBorders/>
            <w:vAlign w:val="top"/>
            <w:shd w:val="clear" w:color="auto" w:fill="C8C8C8"/>
          </w:tcPr>
          <w:p>
            <w:r>
              <w:rPr>
                <w:b w:val="1"/>
                <w:rFonts w:ascii="Arial"/>
                <w:lang w:bidi="ar-sa"/>
              </w:rPr>
              <w:t>Author description</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21</w:t>
            </w:r>
          </w:p>
        </w:tc>
        <w:tc>
          <w:tcPr>
            <w:tcW w:w="1338" w:type="dxa"/>
            <w:tcBorders/>
            <w:vAlign w:val="top"/>
            <w:shd w:val="clear" w:color="auto" w:fill="C8C8C8"/>
          </w:tcPr>
          <w:p>
            <w:r>
              <w:rPr>
                <w:b w:val="1"/>
                <w:rFonts w:ascii="Arial"/>
                <w:lang w:bidi="ar-sa"/>
              </w:rPr>
              <w:t>Author image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22</w:t>
            </w:r>
          </w:p>
        </w:tc>
        <w:tc>
          <w:tcPr>
            <w:tcW w:w="1338" w:type="dxa"/>
            <w:tcBorders/>
            <w:vAlign w:val="top"/>
            <w:shd w:val="clear" w:color="auto" w:fill="C8C8C8"/>
          </w:tcPr>
          <w:p>
            <w:r>
              <w:rPr>
                <w:b w:val="1"/>
                <w:rFonts w:ascii="Arial"/>
                <w:lang w:bidi="ar-sa"/>
              </w:rPr>
              <w:t>Author logo</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23</w:t>
            </w:r>
          </w:p>
        </w:tc>
        <w:tc>
          <w:tcPr>
            <w:tcW w:w="1338" w:type="dxa"/>
            <w:tcBorders/>
            <w:vAlign w:val="top"/>
            <w:shd w:val="clear" w:color="auto" w:fill="C8C8C8"/>
          </w:tcPr>
          <w:p>
            <w:r>
              <w:rPr>
                <w:b w:val="1"/>
                <w:rFonts w:ascii="Arial"/>
                <w:lang w:bidi="ar-sa"/>
              </w:rPr>
              <w:t>Article URL</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www.hotels.com/articles/ar003432</w:t>
            </w:r>
          </w:p>
        </w:tc>
        <w:tc>
          <w:tcPr>
            <w:tcW w:w="6672" w:type="dxa"/>
            <w:tcBorders/>
            <w:vAlign w:val="top"/>
            <w:shd w:val="clear" w:color="auto" w:fill="C8C8C8"/>
          </w:tcPr>
          <w:p>
            <w:hyperlink w:history="1" r:id="rId6">
              <w:r>
                <w:rPr>
                  <w:rStyle w:val="Hyperlink"/>
                  <w:rFonts w:ascii="Arial"/>
                  <w:lang w:bidi="ar-sa"/>
                </w:rPr>
                <w:t>www.hotels.com/articles/ar003432</w:t>
              </w:r>
            </w:hyperlink>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24"/>
    <w:rsid w:val="004F79AF"/>
    <w:rsid w:val="007354B4"/>
    <w:rsid w:val="007847B3"/>
    <w:rsid w:val="00B34AD7"/>
    <w:rsid w:val="00B859A7"/>
    <w:rsid w:val="00CE750F"/>
    <w:rsid w:val="00D40924"/>
    <w:rsid w:val="00D838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 w:type="character" w:styleId="Hyperlink">
    <w:name w:val="Hyperlink"/>
    <w:basedOn w:val="Fontepargpadro"/>
    <w:uiPriority w:val="99"/>
    <w:rPr>
      <w:u w:val="single"/>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Fontepargpadro"/>
    <w:uiPriority w:val="99"/>
    <w:unhideWhenUsed/>
    <w:rsid w:val="007354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articles/ar0034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dc:description/>
  <cp:lastModifiedBy>Liana Borges</cp:lastModifiedBy>
  <cp:revision>3</cp:revision>
  <dcterms:created xsi:type="dcterms:W3CDTF">2015-07-31T15:09:00Z</dcterms:created>
  <dcterms:modified xsi:type="dcterms:W3CDTF">2015-07-31T15:36:00Z</dcterms:modified>
</cp:coreProperties>
</file>