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b w:val="1"/>
          <w:bCs w:val="1"/>
          <w:color w:val="0b5394"/>
          <w:sz w:val="28"/>
          <w:szCs w:val="28"/>
        </w:rPr>
      </w:pPr>
      <w:r w:rsidDel="00000000" w:rsidR="00000000" w:rsidRPr="00000000">
        <w:rPr>
          <w:b w:val="1"/>
          <w:bCs w:val="1"/>
          <w:color w:val="0b5394"/>
          <w:sz w:val="28"/>
          <w:szCs w:val="28"/>
          <w:rtl w:val="0"/>
        </w:rPr>
        <w:t xml:space="preserve">ROTEIRO GIRO NAS COMARCAS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b w:val="1"/>
          <w:bCs w:val="1"/>
          <w:color w:val="0b5394"/>
          <w:sz w:val="28"/>
          <w:szCs w:val="28"/>
        </w:rPr>
      </w:pPr>
      <w:r w:rsidDel="00000000" w:rsidR="00000000" w:rsidRPr="00000000">
        <w:rPr>
          <w:b w:val="1"/>
          <w:bCs w:val="1"/>
          <w:color w:val="0b5394"/>
          <w:sz w:val="28"/>
          <w:szCs w:val="28"/>
          <w:rtl w:val="0"/>
        </w:rPr>
        <w:t xml:space="preserve">PROGRAMA 129|  EXIBIÇÃO: 30/06/2026</w:t>
      </w:r>
    </w:p>
    <w:p w:rsidR="00000000" w:rsidDel="00000000" w:rsidP="00000000" w:rsidRDefault="00000000" w:rsidRPr="00000000" w14:paraId="00000004">
      <w:pPr>
        <w:spacing w:line="276" w:lineRule="auto"/>
        <w:rPr>
          <w:b w:val="1"/>
          <w:bCs w:val="1"/>
          <w:color w:val="99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b w:val="1"/>
          <w:bCs w:val="1"/>
          <w:color w:val="99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b w:val="1"/>
          <w:bCs w:val="1"/>
          <w:color w:val="9900ff"/>
          <w:sz w:val="28"/>
          <w:szCs w:val="28"/>
        </w:rPr>
      </w:pPr>
      <w:r w:rsidDel="00000000" w:rsidR="00000000" w:rsidRPr="00000000">
        <w:rPr>
          <w:b w:val="1"/>
          <w:bCs w:val="1"/>
          <w:color w:val="9900ff"/>
          <w:sz w:val="28"/>
          <w:szCs w:val="28"/>
          <w:rtl w:val="0"/>
        </w:rPr>
        <w:t xml:space="preserve">Vh abertura GIRO</w:t>
      </w:r>
    </w:p>
    <w:p w:rsidR="00000000" w:rsidDel="00000000" w:rsidP="00000000" w:rsidRDefault="00000000" w:rsidRPr="00000000" w14:paraId="00000007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b w:val="1"/>
          <w:bCs w:val="1"/>
          <w:color w:val="6aa84f"/>
          <w:sz w:val="28"/>
          <w:szCs w:val="28"/>
        </w:rPr>
      </w:pPr>
      <w:r w:rsidDel="00000000" w:rsidR="00000000" w:rsidRPr="00000000">
        <w:rPr>
          <w:b w:val="1"/>
          <w:bCs w:val="1"/>
          <w:color w:val="6aa84f"/>
          <w:sz w:val="28"/>
          <w:szCs w:val="28"/>
          <w:rtl w:val="0"/>
        </w:rPr>
        <w:t xml:space="preserve">LOC</w:t>
      </w:r>
    </w:p>
    <w:p w:rsidR="00000000" w:rsidDel="00000000" w:rsidP="00000000" w:rsidRDefault="00000000" w:rsidRPr="00000000" w14:paraId="00000009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OLÁ// HOJE É TERÇA-FEIRA /30 DE JUNHO DE 2026 / E ESSE É O GIRO PELAS COMARCAS DO RIO GRANDE DO NORTE//</w:t>
      </w:r>
    </w:p>
    <w:p w:rsidR="00000000" w:rsidDel="00000000" w:rsidP="00000000" w:rsidRDefault="00000000" w:rsidRPr="00000000" w14:paraId="0000000A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40" w:lineRule="auto"/>
        <w:jc w:val="both"/>
        <w:rPr>
          <w:b w:val="1"/>
          <w:bCs w:val="1"/>
          <w:color w:val="9900ff"/>
          <w:sz w:val="28"/>
          <w:szCs w:val="28"/>
        </w:rPr>
      </w:pPr>
      <w:r w:rsidDel="00000000" w:rsidR="00000000" w:rsidRPr="00000000">
        <w:rPr>
          <w:b w:val="1"/>
          <w:bCs w:val="1"/>
          <w:color w:val="9900ff"/>
          <w:sz w:val="28"/>
          <w:szCs w:val="28"/>
          <w:rtl w:val="0"/>
        </w:rPr>
        <w:t xml:space="preserve">Vh passagem nota</w:t>
      </w:r>
    </w:p>
    <w:p w:rsidR="00000000" w:rsidDel="00000000" w:rsidP="00000000" w:rsidRDefault="00000000" w:rsidRPr="00000000" w14:paraId="0000000D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Nota 1</w:t>
      </w:r>
    </w:p>
    <w:p w:rsidR="00000000" w:rsidDel="00000000" w:rsidP="00000000" w:rsidRDefault="00000000" w:rsidRPr="00000000" w14:paraId="0000000F">
      <w:pPr>
        <w:spacing w:line="276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6aa84f"/>
          <w:sz w:val="28"/>
          <w:szCs w:val="28"/>
          <w:rtl w:val="0"/>
        </w:rPr>
        <w:t xml:space="preserve">LOC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10">
      <w:pPr>
        <w:spacing w:line="276" w:lineRule="auto"/>
        <w:rPr>
          <w:color w:val="1a202c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OFF: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240" w:before="240" w:line="360" w:lineRule="auto"/>
        <w:jc w:val="both"/>
        <w:rPr>
          <w:color w:val="1a202c"/>
          <w:sz w:val="27"/>
          <w:szCs w:val="27"/>
        </w:rPr>
      </w:pPr>
      <w:r w:rsidDel="00000000" w:rsidR="00000000" w:rsidRPr="00000000">
        <w:rPr>
          <w:color w:val="1a202c"/>
          <w:sz w:val="27"/>
          <w:szCs w:val="27"/>
          <w:rtl w:val="0"/>
        </w:rPr>
        <w:t xml:space="preserve">O Tribunal de Justiça do Rio Grande do Norte é finalista em três categorias do Congresso Brasileiro dos Assessores de Comunicação do Sistema de Justiça 2026 (Conbrascom), principal premiação da comunicação do Judiciário brasileiro. O tribunal concorre com a campanha “Nem Tudo São Flores”, na categoria Projeto Gráfico; com o “TJRN Play”, em Mídia Digital; e com a “Exposição Presença Preta”, na categoria Fotografia.</w:t>
      </w:r>
    </w:p>
    <w:p w:rsidR="00000000" w:rsidDel="00000000" w:rsidP="00000000" w:rsidRDefault="00000000" w:rsidRPr="00000000" w14:paraId="00000012">
      <w:pPr>
        <w:shd w:fill="ffffff" w:val="clear"/>
        <w:spacing w:after="240" w:before="240" w:line="360" w:lineRule="auto"/>
        <w:jc w:val="both"/>
        <w:rPr>
          <w:color w:val="1a202c"/>
          <w:sz w:val="27"/>
          <w:szCs w:val="27"/>
        </w:rPr>
      </w:pPr>
      <w:r w:rsidDel="00000000" w:rsidR="00000000" w:rsidRPr="00000000">
        <w:rPr>
          <w:color w:val="1a202c"/>
          <w:sz w:val="27"/>
          <w:szCs w:val="27"/>
          <w:rtl w:val="0"/>
        </w:rPr>
        <w:t xml:space="preserve">Para a secretária de Comunicação do TJRN, Andreia Ramos, as indicações representam o reconhecimento de um trabalho consolidado, que busca aproximar o Judiciário da população por meio de uma comunicação cada vez mais humanizada.</w:t>
      </w:r>
    </w:p>
    <w:p w:rsidR="00000000" w:rsidDel="00000000" w:rsidP="00000000" w:rsidRDefault="00000000" w:rsidRPr="00000000" w14:paraId="00000013">
      <w:pPr>
        <w:shd w:fill="ffffff" w:val="clear"/>
        <w:spacing w:after="240" w:before="240" w:line="360" w:lineRule="auto"/>
        <w:jc w:val="both"/>
        <w:rPr>
          <w:color w:val="1a202c"/>
          <w:sz w:val="27"/>
          <w:szCs w:val="27"/>
        </w:rPr>
      </w:pPr>
      <w:r w:rsidDel="00000000" w:rsidR="00000000" w:rsidRPr="00000000">
        <w:rPr>
          <w:color w:val="1a202c"/>
          <w:sz w:val="27"/>
          <w:szCs w:val="27"/>
          <w:rtl w:val="0"/>
        </w:rPr>
        <w:t xml:space="preserve">Segundo Andreia, o diferencial dos projetos desenvolvidos pela Secretaria de Comunicação está na forma como as pessoas são colocadas no centro das ações. </w:t>
      </w:r>
    </w:p>
    <w:p w:rsidR="00000000" w:rsidDel="00000000" w:rsidP="00000000" w:rsidRDefault="00000000" w:rsidRPr="00000000" w14:paraId="00000014">
      <w:pPr>
        <w:shd w:fill="ffffff" w:val="clear"/>
        <w:spacing w:after="240" w:before="240" w:line="360" w:lineRule="auto"/>
        <w:jc w:val="both"/>
        <w:rPr>
          <w:color w:val="1a202c"/>
          <w:sz w:val="27"/>
          <w:szCs w:val="27"/>
        </w:rPr>
      </w:pPr>
      <w:r w:rsidDel="00000000" w:rsidR="00000000" w:rsidRPr="00000000">
        <w:rPr>
          <w:color w:val="1a202c"/>
          <w:sz w:val="27"/>
          <w:szCs w:val="27"/>
          <w:rtl w:val="0"/>
        </w:rPr>
        <w:t xml:space="preserve">Promovido pelo Fórum Nacional de Comunicação e Justiça, o Conbrascom 2026 acontece entre os dias 29 e 31 de julho, em João Pessoa, reunindo profissionais da comunicação de instituições do sistema de Justiça de todo o país. Além da programação de palestras, painéis e oficinas, o congresso também reconhece iniciativas de destaque desenvolvidas por tribunais, ministérios públicos, defensorias e demais órgãos do sistema de Justiça.</w:t>
      </w:r>
    </w:p>
    <w:p w:rsidR="00000000" w:rsidDel="00000000" w:rsidP="00000000" w:rsidRDefault="00000000" w:rsidRPr="00000000" w14:paraId="00000015">
      <w:pPr>
        <w:shd w:fill="ffffff" w:val="clear"/>
        <w:spacing w:after="240" w:before="240" w:line="360" w:lineRule="auto"/>
        <w:jc w:val="both"/>
        <w:rPr>
          <w:color w:val="1a202c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after="240" w:before="240" w:line="360" w:lineRule="auto"/>
        <w:jc w:val="both"/>
        <w:rPr>
          <w:color w:val="1a202c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360" w:lineRule="auto"/>
        <w:jc w:val="both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Vh passagem nota</w:t>
      </w:r>
    </w:p>
    <w:p w:rsidR="00000000" w:rsidDel="00000000" w:rsidP="00000000" w:rsidRDefault="00000000" w:rsidRPr="00000000" w14:paraId="00000018">
      <w:pPr>
        <w:widowControl w:val="0"/>
        <w:spacing w:line="360" w:lineRule="auto"/>
        <w:jc w:val="both"/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Nota 2</w:t>
      </w:r>
    </w:p>
    <w:p w:rsidR="00000000" w:rsidDel="00000000" w:rsidP="00000000" w:rsidRDefault="00000000" w:rsidRPr="00000000" w14:paraId="0000001A">
      <w:pPr>
        <w:spacing w:line="360" w:lineRule="auto"/>
        <w:rPr>
          <w:b w:val="1"/>
          <w:bCs w:val="1"/>
          <w:color w:val="93c47d"/>
          <w:sz w:val="27"/>
          <w:szCs w:val="27"/>
        </w:rPr>
      </w:pPr>
      <w:r w:rsidDel="00000000" w:rsidR="00000000" w:rsidRPr="00000000">
        <w:rPr>
          <w:b w:val="1"/>
          <w:bCs w:val="1"/>
          <w:color w:val="93c47d"/>
          <w:sz w:val="27"/>
          <w:szCs w:val="27"/>
          <w:rtl w:val="0"/>
        </w:rPr>
        <w:t xml:space="preserve">LOC</w:t>
      </w:r>
      <w:r w:rsidDel="00000000" w:rsidR="00000000" w:rsidRPr="00000000">
        <w:rPr>
          <w:color w:val="93c47d"/>
          <w:sz w:val="27"/>
          <w:szCs w:val="27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rPr>
          <w:color w:val="1a202c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OFF: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after="240" w:before="240" w:line="360" w:lineRule="auto"/>
        <w:jc w:val="both"/>
        <w:rPr>
          <w:color w:val="1a202c"/>
          <w:sz w:val="27"/>
          <w:szCs w:val="27"/>
        </w:rPr>
      </w:pPr>
      <w:r w:rsidDel="00000000" w:rsidR="00000000" w:rsidRPr="00000000">
        <w:rPr>
          <w:color w:val="1a202c"/>
          <w:sz w:val="27"/>
          <w:szCs w:val="27"/>
          <w:rtl w:val="0"/>
        </w:rPr>
        <w:t xml:space="preserve">O Tribunal de Justiça do Rio Grande do Norte é o tribunal estadual mais eficiente do Nordeste e integra o grupo das quatro cortes de melhor desempenho do país, segundo o relatório ‘Justiça em Números 2026’, divulgado pelo Conselho Nacional de Justiça (CNJ). O levantamento posiciona o TJRN ao lado dos tribunais do Amazonas, Goiás e Santa Catarina entre aqueles que alcançaram os melhores resultados na combinação de produtividade, baixa taxa de congestionamento e eficiência na utilização dos recursos públicos.</w:t>
      </w:r>
    </w:p>
    <w:p w:rsidR="00000000" w:rsidDel="00000000" w:rsidP="00000000" w:rsidRDefault="00000000" w:rsidRPr="00000000" w14:paraId="0000001D">
      <w:pPr>
        <w:shd w:fill="ffffff" w:val="clear"/>
        <w:spacing w:after="240" w:before="240" w:line="360" w:lineRule="auto"/>
        <w:jc w:val="both"/>
        <w:rPr>
          <w:color w:val="1a202c"/>
          <w:sz w:val="27"/>
          <w:szCs w:val="27"/>
        </w:rPr>
      </w:pPr>
      <w:r w:rsidDel="00000000" w:rsidR="00000000" w:rsidRPr="00000000">
        <w:rPr>
          <w:color w:val="1a202c"/>
          <w:sz w:val="27"/>
          <w:szCs w:val="27"/>
          <w:rtl w:val="0"/>
        </w:rPr>
        <w:t xml:space="preserve">A avaliação utiliza o Índice de Produtividade Comparada da Justiça (IPC-Jus), indicador que mede a eficiência dos tribunais considerando a relação entre os recursos disponíveis — como magistrados, servidores e orçamento — e os resultados efetivamente entregues à sociedade. Ou seja, não se trata apenas da quantidade de processos julgados, mas da capacidade de prestar uma Justiça mais eficiente com melhor aproveitamento da estrutura disponível.</w:t>
      </w:r>
    </w:p>
    <w:p w:rsidR="00000000" w:rsidDel="00000000" w:rsidP="00000000" w:rsidRDefault="00000000" w:rsidRPr="00000000" w14:paraId="0000001E">
      <w:pPr>
        <w:shd w:fill="ffffff" w:val="clear"/>
        <w:spacing w:after="240" w:before="240" w:line="360" w:lineRule="auto"/>
        <w:jc w:val="both"/>
        <w:rPr>
          <w:color w:val="1a202c"/>
          <w:sz w:val="27"/>
          <w:szCs w:val="27"/>
        </w:rPr>
      </w:pPr>
      <w:r w:rsidDel="00000000" w:rsidR="00000000" w:rsidRPr="00000000">
        <w:rPr>
          <w:color w:val="1a202c"/>
          <w:sz w:val="27"/>
          <w:szCs w:val="27"/>
          <w:rtl w:val="0"/>
        </w:rPr>
        <w:t xml:space="preserve">No índice geral, o TJRN alcançou 79% de eficiência, acima da média dos tribunais estaduais brasileiros, que é de 74%. No segundo grau, o desempenho chegou a 92%, o quinto melhor do país, enquanto no primeiro grau — onde se concentra o maior volume de ações — o índice foi de 81%, também superior à média nacional.</w:t>
      </w:r>
    </w:p>
    <w:p w:rsidR="00000000" w:rsidDel="00000000" w:rsidP="00000000" w:rsidRDefault="00000000" w:rsidRPr="00000000" w14:paraId="0000001F">
      <w:pPr>
        <w:shd w:fill="ffffff" w:val="clear"/>
        <w:spacing w:after="240" w:before="240" w:line="360" w:lineRule="auto"/>
        <w:jc w:val="both"/>
        <w:rPr>
          <w:color w:val="1a202c"/>
          <w:sz w:val="27"/>
          <w:szCs w:val="27"/>
        </w:rPr>
      </w:pPr>
      <w:r w:rsidDel="00000000" w:rsidR="00000000" w:rsidRPr="00000000">
        <w:rPr>
          <w:color w:val="1a202c"/>
          <w:sz w:val="27"/>
          <w:szCs w:val="27"/>
          <w:rtl w:val="0"/>
        </w:rPr>
        <w:t xml:space="preserve">Outro dado que coloca o Tribunal em posição de destaque é o fato de integrar o grupo de apenas cinco tribunais brasileiros que superaram 80% de eficiência simultaneamente no primeiro e no segundo graus de jurisdição, ao lado dos tribunais de Goiás, Mato Grosso, Rio Grande do Sul e Sergipe.</w:t>
      </w:r>
    </w:p>
    <w:p w:rsidR="00000000" w:rsidDel="00000000" w:rsidP="00000000" w:rsidRDefault="00000000" w:rsidRPr="00000000" w14:paraId="00000020">
      <w:pPr>
        <w:shd w:fill="ffffff" w:val="clear"/>
        <w:spacing w:after="240" w:before="240" w:line="360" w:lineRule="auto"/>
        <w:jc w:val="both"/>
        <w:rPr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after="240" w:before="240" w:line="360" w:lineRule="auto"/>
        <w:jc w:val="both"/>
        <w:rPr>
          <w:color w:val="1a202c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line="360" w:lineRule="auto"/>
        <w:jc w:val="both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Vh passagem nota</w:t>
      </w:r>
    </w:p>
    <w:p w:rsidR="00000000" w:rsidDel="00000000" w:rsidP="00000000" w:rsidRDefault="00000000" w:rsidRPr="00000000" w14:paraId="00000023">
      <w:pPr>
        <w:widowControl w:val="0"/>
        <w:spacing w:line="360" w:lineRule="auto"/>
        <w:jc w:val="both"/>
        <w:rPr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line="360" w:lineRule="auto"/>
        <w:jc w:val="both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Nota 3</w:t>
      </w:r>
    </w:p>
    <w:p w:rsidR="00000000" w:rsidDel="00000000" w:rsidP="00000000" w:rsidRDefault="00000000" w:rsidRPr="00000000" w14:paraId="00000025">
      <w:pPr>
        <w:widowControl w:val="0"/>
        <w:spacing w:line="360" w:lineRule="auto"/>
        <w:jc w:val="both"/>
        <w:rPr>
          <w:b w:val="1"/>
          <w:bCs w:val="1"/>
          <w:color w:val="38761d"/>
          <w:sz w:val="27"/>
          <w:szCs w:val="27"/>
        </w:rPr>
      </w:pPr>
      <w:r w:rsidDel="00000000" w:rsidR="00000000" w:rsidRPr="00000000">
        <w:rPr>
          <w:b w:val="1"/>
          <w:bCs w:val="1"/>
          <w:color w:val="38761d"/>
          <w:sz w:val="27"/>
          <w:szCs w:val="27"/>
          <w:rtl w:val="0"/>
        </w:rPr>
        <w:t xml:space="preserve">LOC:</w:t>
      </w:r>
    </w:p>
    <w:p w:rsidR="00000000" w:rsidDel="00000000" w:rsidP="00000000" w:rsidRDefault="00000000" w:rsidRPr="00000000" w14:paraId="00000026">
      <w:pPr>
        <w:spacing w:line="360" w:lineRule="auto"/>
        <w:jc w:val="both"/>
        <w:rPr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OFF</w:t>
      </w:r>
      <w:r w:rsidDel="00000000" w:rsidR="00000000" w:rsidRPr="00000000">
        <w:rPr>
          <w:sz w:val="27"/>
          <w:szCs w:val="27"/>
          <w:rtl w:val="0"/>
        </w:rPr>
        <w:t xml:space="preserve">:</w:t>
      </w:r>
    </w:p>
    <w:p w:rsidR="00000000" w:rsidDel="00000000" w:rsidP="00000000" w:rsidRDefault="00000000" w:rsidRPr="00000000" w14:paraId="00000027">
      <w:pPr>
        <w:shd w:fill="ffffff" w:val="clear"/>
        <w:spacing w:after="240" w:before="240" w:line="360" w:lineRule="auto"/>
        <w:jc w:val="both"/>
        <w:rPr>
          <w:color w:val="1a202c"/>
          <w:sz w:val="27"/>
          <w:szCs w:val="27"/>
        </w:rPr>
      </w:pPr>
      <w:r w:rsidDel="00000000" w:rsidR="00000000" w:rsidRPr="00000000">
        <w:rPr>
          <w:color w:val="1a202c"/>
          <w:sz w:val="27"/>
          <w:szCs w:val="27"/>
          <w:rtl w:val="0"/>
        </w:rPr>
        <w:t xml:space="preserve">O Grupo de Monitoramento e Fiscalização do Sistema Carcerário e de Execução das Medidas Socioeducativas (GMF) do Tribunal de Justiça do Rio Grande do Norte (TJRN) realizou, nesta terça-feira (30/6), uma nova reunião do Comitê Interinstitucional Estadual da Gestão de Vagas do Sistema Socioeducativo. O encontro foi conduzido pelo juiz coordenador das Medidas Socioeducativas do GMF, José Dantas de Paiva, e contou com a participação de representantes do Poder Judiciário estadual e da Fundação de Atendimento Socioeducativo do RN (Fundase).</w:t>
      </w:r>
    </w:p>
    <w:p w:rsidR="00000000" w:rsidDel="00000000" w:rsidP="00000000" w:rsidRDefault="00000000" w:rsidRPr="00000000" w14:paraId="00000028">
      <w:pPr>
        <w:shd w:fill="ffffff" w:val="clear"/>
        <w:spacing w:after="240" w:before="240" w:line="360" w:lineRule="auto"/>
        <w:jc w:val="both"/>
        <w:rPr>
          <w:color w:val="1a202c"/>
          <w:sz w:val="27"/>
          <w:szCs w:val="27"/>
        </w:rPr>
      </w:pPr>
      <w:r w:rsidDel="00000000" w:rsidR="00000000" w:rsidRPr="00000000">
        <w:rPr>
          <w:color w:val="1a202c"/>
          <w:sz w:val="27"/>
          <w:szCs w:val="27"/>
          <w:rtl w:val="0"/>
        </w:rPr>
        <w:t xml:space="preserve">Durante a reunião, foi apresentado o Relatório Anual de Acompanhamento da Gestão de Vagas, referente a 2025. </w:t>
      </w:r>
    </w:p>
    <w:p w:rsidR="00000000" w:rsidDel="00000000" w:rsidP="00000000" w:rsidRDefault="00000000" w:rsidRPr="00000000" w14:paraId="00000029">
      <w:pPr>
        <w:shd w:fill="ffffff" w:val="clear"/>
        <w:spacing w:after="240" w:before="240" w:line="360" w:lineRule="auto"/>
        <w:jc w:val="both"/>
        <w:rPr>
          <w:color w:val="1a202c"/>
          <w:sz w:val="27"/>
          <w:szCs w:val="27"/>
        </w:rPr>
      </w:pPr>
      <w:r w:rsidDel="00000000" w:rsidR="00000000" w:rsidRPr="00000000">
        <w:rPr>
          <w:color w:val="1a202c"/>
          <w:sz w:val="27"/>
          <w:szCs w:val="27"/>
          <w:rtl w:val="0"/>
        </w:rPr>
        <w:t xml:space="preserve">Segundo o relatório, o acompanhamento sistemático da política socioeducativa representa uma das frentes prioritárias de atuação do Poder Judiciário na proteção integral de crianças e adolescentes. O documento destaca que uma gestão de vagas planejada e articulada contribui para prevenir violações de direitos e para qualificar o atendimento prestado.</w:t>
      </w:r>
    </w:p>
    <w:p w:rsidR="00000000" w:rsidDel="00000000" w:rsidP="00000000" w:rsidRDefault="00000000" w:rsidRPr="00000000" w14:paraId="0000002A">
      <w:pPr>
        <w:shd w:fill="ffffff" w:val="clear"/>
        <w:spacing w:after="240" w:before="240" w:line="360" w:lineRule="auto"/>
        <w:jc w:val="both"/>
        <w:rPr>
          <w:color w:val="1a202c"/>
          <w:sz w:val="27"/>
          <w:szCs w:val="27"/>
        </w:rPr>
      </w:pPr>
      <w:r w:rsidDel="00000000" w:rsidR="00000000" w:rsidRPr="00000000">
        <w:rPr>
          <w:color w:val="1a202c"/>
          <w:sz w:val="27"/>
          <w:szCs w:val="27"/>
          <w:rtl w:val="0"/>
        </w:rPr>
        <w:t xml:space="preserve">A análise dos dados, elaborada a partir das informações encaminhadas semanalmente pela Central de Gestão de Vagas da Fundase, evidenciou que, durante todo o ano de 2025, a ocupação das unidades de internação, internação provisória, semiliberdade e da Unidade de Atendimento </w:t>
      </w:r>
      <w:r w:rsidDel="00000000" w:rsidR="00000000" w:rsidRPr="00000000">
        <w:rPr>
          <w:color w:val="607524"/>
          <w:sz w:val="27"/>
          <w:szCs w:val="27"/>
          <w:u w:val="single"/>
          <w:rtl w:val="0"/>
        </w:rPr>
        <w:t xml:space="preserve">Inicial</w:t>
      </w:r>
      <w:r w:rsidDel="00000000" w:rsidR="00000000" w:rsidRPr="00000000">
        <w:rPr>
          <w:color w:val="1a202c"/>
          <w:sz w:val="27"/>
          <w:szCs w:val="27"/>
          <w:rtl w:val="0"/>
        </w:rPr>
        <w:t xml:space="preserve"> permaneceu dentro da capacidade instalada, sem registros de lotação ou superlotação. O estudo também identificou períodos de estabilidade e redução da taxa de ocupação, resultado atribuído à atuação da Central de Gestão de Vagas e ao trabalho articulado entre as instituições.</w:t>
      </w:r>
    </w:p>
    <w:p w:rsidR="00000000" w:rsidDel="00000000" w:rsidP="00000000" w:rsidRDefault="00000000" w:rsidRPr="00000000" w14:paraId="0000002B">
      <w:pPr>
        <w:shd w:fill="ffffff" w:val="clear"/>
        <w:spacing w:after="240" w:before="240" w:line="360" w:lineRule="auto"/>
        <w:jc w:val="both"/>
        <w:rPr>
          <w:color w:val="1a202c"/>
          <w:sz w:val="27"/>
          <w:szCs w:val="27"/>
        </w:rPr>
      </w:pPr>
      <w:r w:rsidDel="00000000" w:rsidR="00000000" w:rsidRPr="00000000">
        <w:rPr>
          <w:color w:val="1a202c"/>
          <w:sz w:val="27"/>
          <w:szCs w:val="27"/>
          <w:rtl w:val="0"/>
        </w:rPr>
        <w:t xml:space="preserve">O relatório apresenta ainda uma análise detalhada da ocupação das unidades por gênero e por tipo de medida socioeducativa. No atendimento ao público masculino, foram avaliados os dados dos Centros de Atendimento Socioeducativo (CASE) de Pitimbu, Mossoró e Caicó, dos Centros de Atendimento Socioeducativo Provisório (CASEP) localizados em Natal, Mossoró e Caicó, além das unidades de semiliberdade CASEMI Nazaré, em Natal, e CASEMI Santa Delmira, em Mossoró.</w:t>
      </w:r>
    </w:p>
    <w:p w:rsidR="00000000" w:rsidDel="00000000" w:rsidP="00000000" w:rsidRDefault="00000000" w:rsidRPr="00000000" w14:paraId="0000002C">
      <w:pPr>
        <w:spacing w:line="360" w:lineRule="auto"/>
        <w:jc w:val="both"/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after="240" w:before="240" w:line="360" w:lineRule="auto"/>
        <w:jc w:val="both"/>
        <w:rPr>
          <w:color w:val="1a202c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line="360" w:lineRule="auto"/>
        <w:jc w:val="both"/>
        <w:rPr>
          <w:color w:val="1a202c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Vh passagem nota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line="360" w:lineRule="auto"/>
        <w:jc w:val="both"/>
        <w:rPr>
          <w:color w:val="1a202c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360" w:lineRule="auto"/>
        <w:jc w:val="both"/>
        <w:rPr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Nota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360" w:lineRule="auto"/>
        <w:jc w:val="both"/>
        <w:rPr>
          <w:b w:val="1"/>
          <w:bCs w:val="1"/>
          <w:color w:val="93c47d"/>
          <w:sz w:val="27"/>
          <w:szCs w:val="27"/>
        </w:rPr>
      </w:pPr>
      <w:r w:rsidDel="00000000" w:rsidR="00000000" w:rsidRPr="00000000">
        <w:rPr>
          <w:b w:val="1"/>
          <w:bCs w:val="1"/>
          <w:color w:val="93c47d"/>
          <w:sz w:val="27"/>
          <w:szCs w:val="27"/>
          <w:rtl w:val="0"/>
        </w:rPr>
        <w:t xml:space="preserve">LOC:</w:t>
      </w:r>
    </w:p>
    <w:p w:rsidR="00000000" w:rsidDel="00000000" w:rsidP="00000000" w:rsidRDefault="00000000" w:rsidRPr="00000000" w14:paraId="00000032">
      <w:pPr>
        <w:spacing w:line="360" w:lineRule="auto"/>
        <w:rPr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OFF: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hd w:fill="ffffff" w:val="clear"/>
        <w:spacing w:after="240" w:before="240" w:line="360" w:lineRule="auto"/>
        <w:jc w:val="both"/>
        <w:rPr>
          <w:color w:val="1a202c"/>
          <w:sz w:val="27"/>
          <w:szCs w:val="27"/>
        </w:rPr>
      </w:pPr>
      <w:r w:rsidDel="00000000" w:rsidR="00000000" w:rsidRPr="00000000">
        <w:rPr>
          <w:color w:val="1a202c"/>
          <w:sz w:val="27"/>
          <w:szCs w:val="27"/>
          <w:rtl w:val="0"/>
        </w:rPr>
        <w:t xml:space="preserve">O Projeto Escritores e Escritoras do Cárcere, do Tribunal de Justiça do Rio Grande do Norte, deu mais um passo na promoção da literatura produzida por pessoas privadas de liberdade e egressas do sistema prisional. </w:t>
      </w:r>
    </w:p>
    <w:p w:rsidR="00000000" w:rsidDel="00000000" w:rsidP="00000000" w:rsidRDefault="00000000" w:rsidRPr="00000000" w14:paraId="00000034">
      <w:pPr>
        <w:widowControl w:val="0"/>
        <w:shd w:fill="ffffff" w:val="clear"/>
        <w:spacing w:after="240" w:before="240" w:line="360" w:lineRule="auto"/>
        <w:jc w:val="both"/>
        <w:rPr>
          <w:color w:val="1a202c"/>
          <w:sz w:val="27"/>
          <w:szCs w:val="27"/>
        </w:rPr>
      </w:pPr>
      <w:r w:rsidDel="00000000" w:rsidR="00000000" w:rsidRPr="00000000">
        <w:rPr>
          <w:color w:val="1a202c"/>
          <w:sz w:val="27"/>
          <w:szCs w:val="27"/>
          <w:rtl w:val="0"/>
        </w:rPr>
        <w:t xml:space="preserve">Na quinta-feira (2/7), foram entregues ao Centro de Convivência Dom Nivaldo Monte cinco obras literárias escritas e publicadas por integrantes do projeto, que serão adaptadas para o formato de histórias em quadrinhos, ampliando o alcance das narrativas e fortalecendo ações de reintegração social por meio da cultura.</w:t>
      </w:r>
    </w:p>
    <w:p w:rsidR="00000000" w:rsidDel="00000000" w:rsidP="00000000" w:rsidRDefault="00000000" w:rsidRPr="00000000" w14:paraId="00000035">
      <w:pPr>
        <w:widowControl w:val="0"/>
        <w:shd w:fill="ffffff" w:val="clear"/>
        <w:spacing w:after="240" w:before="240" w:line="360" w:lineRule="auto"/>
        <w:jc w:val="both"/>
        <w:rPr>
          <w:color w:val="1a202c"/>
          <w:sz w:val="27"/>
          <w:szCs w:val="27"/>
        </w:rPr>
      </w:pPr>
      <w:r w:rsidDel="00000000" w:rsidR="00000000" w:rsidRPr="00000000">
        <w:rPr>
          <w:color w:val="1a202c"/>
          <w:sz w:val="27"/>
          <w:szCs w:val="27"/>
          <w:rtl w:val="0"/>
        </w:rPr>
        <w:t xml:space="preserve">A entrega ocorreu na sede do CCDNM, no bairro Passo da Pátria, em Natal, e contou com a presença do juiz Fábio Ataíde, coordenador-geral do Projeto Escritores e Escritoras do Cárcere e da coordenadora executiva da iniciativa, Guiomar Veras, além de representantes da associação e moradores da comunidade.</w:t>
      </w:r>
    </w:p>
    <w:p w:rsidR="00000000" w:rsidDel="00000000" w:rsidP="00000000" w:rsidRDefault="00000000" w:rsidRPr="00000000" w14:paraId="00000036">
      <w:pPr>
        <w:widowControl w:val="0"/>
        <w:shd w:fill="ffffff" w:val="clear"/>
        <w:spacing w:after="240" w:before="240" w:line="360" w:lineRule="auto"/>
        <w:jc w:val="both"/>
        <w:rPr>
          <w:color w:val="1a202c"/>
          <w:sz w:val="27"/>
          <w:szCs w:val="27"/>
        </w:rPr>
      </w:pPr>
      <w:r w:rsidDel="00000000" w:rsidR="00000000" w:rsidRPr="00000000">
        <w:rPr>
          <w:color w:val="1a202c"/>
          <w:sz w:val="27"/>
          <w:szCs w:val="27"/>
          <w:rtl w:val="0"/>
        </w:rPr>
        <w:t xml:space="preserve">As obras serão adaptadas pelo projeto "Passos para o Recomeço - Cultura em Quadrinhos e Oportunidades em Negócio Social Comunitário", contemplado pelo Edital nº 01/2026 do Comitê Gestor de Penas Pecuniárias da </w:t>
      </w:r>
      <w:r w:rsidDel="00000000" w:rsidR="00000000" w:rsidRPr="00000000">
        <w:rPr>
          <w:color w:val="607524"/>
          <w:sz w:val="27"/>
          <w:szCs w:val="27"/>
          <w:u w:val="single"/>
          <w:rtl w:val="0"/>
        </w:rPr>
        <w:t xml:space="preserve">Comarca</w:t>
      </w:r>
      <w:r w:rsidDel="00000000" w:rsidR="00000000" w:rsidRPr="00000000">
        <w:rPr>
          <w:color w:val="1a202c"/>
          <w:sz w:val="27"/>
          <w:szCs w:val="27"/>
          <w:rtl w:val="0"/>
        </w:rPr>
        <w:t xml:space="preserve"> de Natal. A iniciativa prevê a produção, publicação, impressão, distribuição e comercialização de revistas inspiradas em histórias de pessoas que cumpriram pena e reconstruíram suas trajetórias de forma digna. </w:t>
      </w:r>
    </w:p>
    <w:p w:rsidR="00000000" w:rsidDel="00000000" w:rsidP="00000000" w:rsidRDefault="00000000" w:rsidRPr="00000000" w14:paraId="00000037">
      <w:pPr>
        <w:widowControl w:val="0"/>
        <w:shd w:fill="ffffff" w:val="clear"/>
        <w:spacing w:after="240" w:before="240" w:line="360" w:lineRule="auto"/>
        <w:jc w:val="both"/>
        <w:rPr>
          <w:color w:val="1a202c"/>
          <w:sz w:val="27"/>
          <w:szCs w:val="27"/>
        </w:rPr>
      </w:pPr>
      <w:r w:rsidDel="00000000" w:rsidR="00000000" w:rsidRPr="00000000">
        <w:rPr>
          <w:color w:val="1a202c"/>
          <w:sz w:val="27"/>
          <w:szCs w:val="27"/>
          <w:rtl w:val="0"/>
        </w:rPr>
        <w:t xml:space="preserve">Além de retratar experiências de superação, as publicações abordarão temas de interesse social, como a prevenção à violência doméstica, o combate ao uso de drogas e ao consumo abusivo de bebidas alcoólicas, além de outras mensagens voltadas à prevenção da criminalidade.</w:t>
      </w:r>
    </w:p>
    <w:p w:rsidR="00000000" w:rsidDel="00000000" w:rsidP="00000000" w:rsidRDefault="00000000" w:rsidRPr="00000000" w14:paraId="00000038">
      <w:pPr>
        <w:widowControl w:val="0"/>
        <w:shd w:fill="ffffff" w:val="clear"/>
        <w:spacing w:after="240" w:before="240" w:line="360" w:lineRule="auto"/>
        <w:jc w:val="both"/>
        <w:rPr>
          <w:color w:val="1a202c"/>
          <w:sz w:val="27"/>
          <w:szCs w:val="27"/>
        </w:rPr>
      </w:pPr>
      <w:r w:rsidDel="00000000" w:rsidR="00000000" w:rsidRPr="00000000">
        <w:rPr>
          <w:color w:val="1a202c"/>
          <w:sz w:val="27"/>
          <w:szCs w:val="27"/>
          <w:rtl w:val="0"/>
        </w:rPr>
        <w:t xml:space="preserve">Nesta primeira etapa, cinco livros selecionados pelo Projeto Escritores e Escritoras do Cárcere foram entregues ao CCDNM, instituição responsável pela adaptação das obras para o formato de HQ, preservando a essência, a autoria e a integridade das narrativas. O trabalho envolverá ilustração, revisão editorial, diagramação, impressão e divulgação das publicações.</w:t>
      </w:r>
    </w:p>
    <w:p w:rsidR="00000000" w:rsidDel="00000000" w:rsidP="00000000" w:rsidRDefault="00000000" w:rsidRPr="00000000" w14:paraId="00000039">
      <w:pPr>
        <w:widowControl w:val="0"/>
        <w:shd w:fill="ffffff" w:val="clear"/>
        <w:spacing w:after="240" w:before="240" w:line="360" w:lineRule="auto"/>
        <w:jc w:val="both"/>
        <w:rPr>
          <w:color w:val="1a202c"/>
          <w:sz w:val="27"/>
          <w:szCs w:val="27"/>
        </w:rPr>
      </w:pPr>
      <w:r w:rsidDel="00000000" w:rsidR="00000000" w:rsidRPr="00000000">
        <w:rPr>
          <w:color w:val="1a202c"/>
          <w:sz w:val="27"/>
          <w:szCs w:val="27"/>
          <w:rtl w:val="0"/>
        </w:rPr>
        <w:t xml:space="preserve">A comercialização das revistas também terá impacto social, uma vez que 20% do valor líquido arrecadado com a venda dos exemplares será destinado ao Centro de Convivência Dom Nivaldo Monte para a manutenção de suas atividades institucionais e de projetos sociais e culturais. Os outros 80% serão destinados aos autores das obras adaptadas.</w:t>
      </w:r>
    </w:p>
    <w:p w:rsidR="00000000" w:rsidDel="00000000" w:rsidP="00000000" w:rsidRDefault="00000000" w:rsidRPr="00000000" w14:paraId="0000003A">
      <w:pPr>
        <w:widowControl w:val="0"/>
        <w:shd w:fill="ffffff" w:val="clear"/>
        <w:spacing w:after="240" w:before="240" w:line="360" w:lineRule="auto"/>
        <w:jc w:val="both"/>
        <w:rPr>
          <w:color w:val="1a202c"/>
          <w:sz w:val="27"/>
          <w:szCs w:val="27"/>
        </w:rPr>
      </w:pPr>
      <w:r w:rsidDel="00000000" w:rsidR="00000000" w:rsidRPr="00000000">
        <w:rPr>
          <w:color w:val="1a202c"/>
          <w:sz w:val="27"/>
          <w:szCs w:val="27"/>
          <w:rtl w:val="0"/>
        </w:rPr>
        <w:t xml:space="preserve">O projeto contemplado também realizará, além da produção das HQs, a confecção de 500 camisetas com imagens das obras e a capacitação de pessoas em cumprimento de pena para atuação na comercialização de produtos ligados ao turismo, promovendo geração de renda e novas oportunidades de reinserção social.</w:t>
      </w:r>
    </w:p>
    <w:p w:rsidR="00000000" w:rsidDel="00000000" w:rsidP="00000000" w:rsidRDefault="00000000" w:rsidRPr="00000000" w14:paraId="0000003B">
      <w:pPr>
        <w:widowControl w:val="0"/>
        <w:shd w:fill="ffffff" w:val="clear"/>
        <w:spacing w:after="240" w:before="240" w:line="360" w:lineRule="auto"/>
        <w:jc w:val="both"/>
        <w:rPr>
          <w:color w:val="1a202c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hd w:fill="ffffff" w:val="clear"/>
        <w:spacing w:after="240" w:before="240" w:line="360" w:lineRule="auto"/>
        <w:jc w:val="both"/>
        <w:rPr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240" w:lineRule="auto"/>
        <w:jc w:val="both"/>
        <w:rPr>
          <w:b w:val="1"/>
          <w:bCs w:val="1"/>
          <w:color w:val="99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line="240" w:lineRule="auto"/>
        <w:jc w:val="both"/>
        <w:rPr>
          <w:b w:val="1"/>
          <w:bCs w:val="1"/>
          <w:color w:val="99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line="240" w:lineRule="auto"/>
        <w:jc w:val="both"/>
        <w:rPr>
          <w:b w:val="1"/>
          <w:bCs w:val="1"/>
          <w:color w:val="9900ff"/>
          <w:sz w:val="28"/>
          <w:szCs w:val="28"/>
        </w:rPr>
      </w:pPr>
      <w:r w:rsidDel="00000000" w:rsidR="00000000" w:rsidRPr="00000000">
        <w:rPr>
          <w:b w:val="1"/>
          <w:bCs w:val="1"/>
          <w:color w:val="9900ff"/>
          <w:sz w:val="28"/>
          <w:szCs w:val="28"/>
          <w:rtl w:val="0"/>
        </w:rPr>
        <w:t xml:space="preserve">Vh passagem nota</w:t>
      </w:r>
    </w:p>
    <w:p w:rsidR="00000000" w:rsidDel="00000000" w:rsidP="00000000" w:rsidRDefault="00000000" w:rsidRPr="00000000" w14:paraId="00000040">
      <w:pPr>
        <w:widowControl w:val="0"/>
        <w:spacing w:line="240" w:lineRule="auto"/>
        <w:jc w:val="both"/>
        <w:rPr>
          <w:b w:val="1"/>
          <w:bCs w:val="1"/>
          <w:color w:val="99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line="240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Nota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6aa84f"/>
          <w:sz w:val="28"/>
          <w:szCs w:val="28"/>
          <w:rtl w:val="0"/>
        </w:rPr>
        <w:t xml:space="preserve">LOC: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OFF:</w:t>
      </w:r>
    </w:p>
    <w:p w:rsidR="00000000" w:rsidDel="00000000" w:rsidP="00000000" w:rsidRDefault="00000000" w:rsidRPr="00000000" w14:paraId="0000004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color w:val="9900ff"/>
          <w:sz w:val="28"/>
          <w:szCs w:val="28"/>
          <w:rtl w:val="0"/>
        </w:rPr>
        <w:t xml:space="preserve">encerramento GIRO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