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评估建议 · 补充八 —— 源码级复核（第二轮）</w:t>
      </w:r>
    </w:p>
    <w:p>
      <w:r>
        <w:t>复核对象：github.com/lin612320/Legal-Workspace，feature/赛事版 分支，HEAD e8dd45c（0.7.2）</w:t>
      </w:r>
    </w:p>
    <w:p>
      <w:r>
        <w:t>复核日期：2026-10-13</w:t>
      </w:r>
    </w:p>
    <w:p>
      <w:r>
        <w:t>结论：提交包材料中的绝大部分技术口径属实（确定性自检、知识图谱、5 类任务、二段校验、候选边人工确认机制均真实存在且实现完整）。同时发现 2 个源码级问题（G11 / G12）。</w:t>
      </w:r>
    </w:p>
    <w:p>
      <w:pPr>
        <w:pStyle w:val="Heading1"/>
      </w:pPr>
      <w:r>
        <w:t>一、仓库可达性与规模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9EEF5"/>
          </w:tcPr>
          <w:p>
            <w:r>
              <w:rPr>
                <w:b/>
              </w:rPr>
              <w:t>项</w:t>
            </w:r>
          </w:p>
        </w:tc>
        <w:tc>
          <w:tcPr>
            <w:tcW w:type="dxa" w:w="4680"/>
            <w:shd w:fill="E9EEF5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680"/>
          </w:tcPr>
          <w:p>
            <w:r>
              <w:t>仓库</w:t>
            </w:r>
          </w:p>
        </w:tc>
        <w:tc>
          <w:tcPr>
            <w:tcW w:type="dxa" w:w="4680"/>
          </w:tcPr>
          <w:p>
            <w:r>
              <w:t>github.com/lin612320/Legal-Workspace（公开，免登录）</w:t>
            </w:r>
          </w:p>
        </w:tc>
      </w:tr>
      <w:tr>
        <w:tc>
          <w:tcPr>
            <w:tcW w:type="dxa" w:w="4680"/>
          </w:tcPr>
          <w:p>
            <w:r>
              <w:t>分支</w:t>
            </w:r>
          </w:p>
        </w:tc>
        <w:tc>
          <w:tcPr>
            <w:tcW w:type="dxa" w:w="4680"/>
          </w:tcPr>
          <w:p>
            <w:r>
              <w:t>main / dev / feature/赛事版</w:t>
            </w:r>
          </w:p>
        </w:tc>
      </w:tr>
      <w:tr>
        <w:tc>
          <w:tcPr>
            <w:tcW w:type="dxa" w:w="4680"/>
          </w:tcPr>
          <w:p>
            <w:r>
              <w:t>tag</w:t>
            </w:r>
          </w:p>
        </w:tc>
        <w:tc>
          <w:tcPr>
            <w:tcW w:type="dxa" w:w="4680"/>
          </w:tcPr>
          <w:p>
            <w:r>
              <w:t>v0.2.0 → v0.7.2-赛事版，共 16 个</w:t>
            </w:r>
          </w:p>
        </w:tc>
      </w:tr>
      <w:tr>
        <w:tc>
          <w:tcPr>
            <w:tcW w:type="dxa" w:w="4680"/>
          </w:tcPr>
          <w:p>
            <w:r>
              <w:t>本地克隆基线</w:t>
            </w:r>
          </w:p>
        </w:tc>
        <w:tc>
          <w:tcPr>
            <w:tcW w:type="dxa" w:w="4680"/>
          </w:tcPr>
          <w:p>
            <w:r>
              <w:t>feature/赛事版 @ e8dd45c（package.json version = 0.7.2）</w:t>
            </w:r>
          </w:p>
        </w:tc>
      </w:tr>
      <w:tr>
        <w:tc>
          <w:tcPr>
            <w:tcW w:type="dxa" w:w="4680"/>
          </w:tcPr>
          <w:p>
            <w:r>
              <w:t>前端规模</w:t>
            </w:r>
          </w:p>
        </w:tc>
        <w:tc>
          <w:tcPr>
            <w:tcW w:type="dxa" w:w="4680"/>
          </w:tcPr>
          <w:p>
            <w:r>
              <w:t>约 9,248 行 TS/TSX</w:t>
            </w:r>
          </w:p>
        </w:tc>
      </w:tr>
      <w:tr>
        <w:tc>
          <w:tcPr>
            <w:tcW w:type="dxa" w:w="4680"/>
          </w:tcPr>
          <w:p>
            <w:r>
              <w:t>桌面壳规模</w:t>
            </w:r>
          </w:p>
        </w:tc>
        <w:tc>
          <w:tcPr>
            <w:tcW w:type="dxa" w:w="4680"/>
          </w:tcPr>
          <w:p>
            <w:r>
              <w:t>约 5,142 行 Rust</w:t>
            </w:r>
          </w:p>
        </w:tc>
      </w:tr>
      <w:tr>
        <w:tc>
          <w:tcPr>
            <w:tcW w:type="dxa" w:w="4680"/>
          </w:tcPr>
          <w:p>
            <w:r>
              <w:t>悬浮球</w:t>
            </w:r>
          </w:p>
        </w:tc>
        <w:tc>
          <w:tcPr>
            <w:tcW w:type="dxa" w:w="4680"/>
          </w:tcPr>
          <w:p>
            <w:r>
              <w:t>Electron 33 独立应用，15 个源文件</w:t>
            </w:r>
          </w:p>
        </w:tc>
      </w:tr>
      <w:tr>
        <w:tc>
          <w:tcPr>
            <w:tcW w:type="dxa" w:w="4680"/>
          </w:tcPr>
          <w:p>
            <w:r>
              <w:t>内部文档</w:t>
            </w:r>
          </w:p>
        </w:tc>
        <w:tc>
          <w:tcPr>
            <w:tcW w:type="dxa" w:w="4680"/>
          </w:tcPr>
          <w:p>
            <w:r>
              <w:t>docs/01–12 共 11 个 md + 中英计划书</w:t>
            </w:r>
          </w:p>
        </w:tc>
      </w:tr>
      <w:tr>
        <w:tc>
          <w:tcPr>
            <w:tcW w:type="dxa" w:w="4680"/>
          </w:tcPr>
          <w:p>
            <w:r>
              <w:t>演示站</w:t>
            </w:r>
          </w:p>
        </w:tc>
        <w:tc>
          <w:tcPr>
            <w:tcW w:type="dxa" w:w="4680"/>
          </w:tcPr>
          <w:p>
            <w:r>
              <w:t>单文件离线 HTML，527 KB</w:t>
            </w:r>
          </w:p>
        </w:tc>
      </w:tr>
    </w:tbl>
    <w:p>
      <w:pPr>
        <w:pStyle w:val="Heading1"/>
      </w:pPr>
      <w:r>
        <w:t>二、核心源码文件清单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9EEF5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3120"/>
            <w:shd w:fill="E9EEF5"/>
          </w:tcPr>
          <w:p>
            <w:r>
              <w:rPr>
                <w:b/>
              </w:rPr>
              <w:t>大小</w:t>
            </w:r>
          </w:p>
        </w:tc>
        <w:tc>
          <w:tcPr>
            <w:tcW w:type="dxa" w:w="3120"/>
            <w:shd w:fill="E9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3120"/>
          </w:tcPr>
          <w:p>
            <w:r>
              <w:t>src/lib/agent.ts</w:t>
            </w:r>
          </w:p>
        </w:tc>
        <w:tc>
          <w:tcPr>
            <w:tcW w:type="dxa" w:w="3120"/>
          </w:tcPr>
          <w:p>
            <w:r>
              <w:t>41 KB</w:t>
            </w:r>
          </w:p>
        </w:tc>
        <w:tc>
          <w:tcPr>
            <w:tcW w:type="dxa" w:w="3120"/>
          </w:tcPr>
          <w:p>
            <w:r>
              <w:t>四角色引擎 + 5 类任务 + 两段确定性自检 + 计划规划 + 记忆召回</w:t>
            </w:r>
          </w:p>
        </w:tc>
      </w:tr>
      <w:tr>
        <w:tc>
          <w:tcPr>
            <w:tcW w:type="dxa" w:w="3120"/>
          </w:tcPr>
          <w:p>
            <w:r>
              <w:t>src/lib/tools.ts</w:t>
            </w:r>
          </w:p>
        </w:tc>
        <w:tc>
          <w:tcPr>
            <w:tcW w:type="dxa" w:w="3120"/>
          </w:tcPr>
          <w:p>
            <w:r>
              <w:t>13.5 KB</w:t>
            </w:r>
          </w:p>
        </w:tc>
        <w:tc>
          <w:tcPr>
            <w:tcW w:type="dxa" w:w="3120"/>
          </w:tcPr>
          <w:p>
            <w:r>
              <w:t>5 个官方工具（laws_search / law_by_id / laws_country_preview / template_load / translate_text）</w:t>
            </w:r>
          </w:p>
        </w:tc>
      </w:tr>
      <w:tr>
        <w:tc>
          <w:tcPr>
            <w:tcW w:type="dxa" w:w="3120"/>
          </w:tcPr>
          <w:p>
            <w:r>
              <w:t>src/lib/kg.ts</w:t>
            </w:r>
          </w:p>
        </w:tc>
        <w:tc>
          <w:tcPr>
            <w:tcW w:type="dxa" w:w="3120"/>
          </w:tcPr>
          <w:p>
            <w:r>
              <w:t>5 KB</w:t>
            </w:r>
          </w:p>
        </w:tc>
        <w:tc>
          <w:tcPr>
            <w:tcW w:type="dxa" w:w="3120"/>
          </w:tcPr>
          <w:p>
            <w:r>
              <w:t>知识图谱数据层（skeletonOf / describeSkeleton）</w:t>
            </w:r>
          </w:p>
        </w:tc>
      </w:tr>
      <w:tr>
        <w:tc>
          <w:tcPr>
            <w:tcW w:type="dxa" w:w="3120"/>
          </w:tcPr>
          <w:p>
            <w:r>
              <w:t>src/lib/kgTypes.ts</w:t>
            </w:r>
          </w:p>
        </w:tc>
        <w:tc>
          <w:tcPr>
            <w:tcW w:type="dxa" w:w="3120"/>
          </w:tcPr>
          <w:p>
            <w:r>
              <w:t>1.6 KB</w:t>
            </w:r>
          </w:p>
        </w:tc>
        <w:tc>
          <w:tcPr>
            <w:tcW w:type="dxa" w:w="3120"/>
          </w:tcPr>
          <w:p>
            <w:r>
              <w:t>节点/边契约 + 候选边阈值 0.8</w:t>
            </w:r>
          </w:p>
        </w:tc>
      </w:tr>
      <w:tr>
        <w:tc>
          <w:tcPr>
            <w:tcW w:type="dxa" w:w="3120"/>
          </w:tcPr>
          <w:p>
            <w:r>
              <w:t>src/lib/evolution.ts</w:t>
            </w:r>
          </w:p>
        </w:tc>
        <w:tc>
          <w:tcPr>
            <w:tcW w:type="dxa" w:w="3120"/>
          </w:tcPr>
          <w:p>
            <w:r>
              <w:t>48 KB</w:t>
            </w:r>
          </w:p>
        </w:tc>
        <w:tc>
          <w:tcPr>
            <w:tcW w:type="dxa" w:w="3120"/>
          </w:tcPr>
          <w:p>
            <w:r>
              <w:t>联邦配方进化（0.8.0 方案稿）纯函数层</w:t>
            </w:r>
          </w:p>
        </w:tc>
      </w:tr>
      <w:tr>
        <w:tc>
          <w:tcPr>
            <w:tcW w:type="dxa" w:w="3120"/>
          </w:tcPr>
          <w:p>
            <w:r>
              <w:t>src-tauri/src/db.rs</w:t>
            </w:r>
          </w:p>
        </w:tc>
        <w:tc>
          <w:tcPr>
            <w:tcW w:type="dxa" w:w="3120"/>
          </w:tcPr>
          <w:p>
            <w:r>
              <w:t>82 KB</w:t>
            </w:r>
          </w:p>
        </w:tc>
        <w:tc>
          <w:tcPr>
            <w:tcW w:type="dxa" w:w="3120"/>
          </w:tcPr>
          <w:p>
            <w:r>
              <w:t>SQLite 全部表 + 知识图谱种子 + FTS5</w:t>
            </w:r>
          </w:p>
        </w:tc>
      </w:tr>
      <w:tr>
        <w:tc>
          <w:tcPr>
            <w:tcW w:type="dxa" w:w="3120"/>
          </w:tcPr>
          <w:p>
            <w:r>
              <w:t>src-tauri/src/docx.rs</w:t>
            </w:r>
          </w:p>
        </w:tc>
        <w:tc>
          <w:tcPr>
            <w:tcW w:type="dxa" w:w="3120"/>
          </w:tcPr>
          <w:p>
            <w:r>
              <w:t>17.8 KB</w:t>
            </w:r>
          </w:p>
        </w:tc>
        <w:tc>
          <w:tcPr>
            <w:tcW w:type="dxa" w:w="3120"/>
          </w:tcPr>
          <w:p>
            <w:r>
              <w:t>零依赖 OOXML 导出（含 Word 原生表格）</w:t>
            </w:r>
          </w:p>
        </w:tc>
      </w:tr>
      <w:tr>
        <w:tc>
          <w:tcPr>
            <w:tcW w:type="dxa" w:w="3120"/>
          </w:tcPr>
          <w:p>
            <w:r>
              <w:t>src-tauri/src/office.rs</w:t>
            </w:r>
          </w:p>
        </w:tc>
        <w:tc>
          <w:tcPr>
            <w:tcW w:type="dxa" w:w="3120"/>
          </w:tcPr>
          <w:p>
            <w:r>
              <w:t>39.8 KB</w:t>
            </w:r>
          </w:p>
        </w:tc>
        <w:tc>
          <w:tcPr>
            <w:tcW w:type="dxa" w:w="3120"/>
          </w:tcPr>
          <w:p>
            <w:r>
              <w:t>多模态材料本地提取</w:t>
            </w:r>
          </w:p>
        </w:tc>
      </w:tr>
      <w:tr>
        <w:tc>
          <w:tcPr>
            <w:tcW w:type="dxa" w:w="3120"/>
          </w:tcPr>
          <w:p>
            <w:r>
              <w:t>src/views/Agent.tsx</w:t>
            </w:r>
          </w:p>
        </w:tc>
        <w:tc>
          <w:tcPr>
            <w:tcW w:type="dxa" w:w="3120"/>
          </w:tcPr>
          <w:p>
            <w:r>
              <w:t>45 KB</w:t>
            </w:r>
          </w:p>
        </w:tc>
        <w:tc>
          <w:tcPr>
            <w:tcW w:type="dxa" w:w="3120"/>
          </w:tcPr>
          <w:p>
            <w:r>
              <w:t>文书智能体页面</w:t>
            </w:r>
          </w:p>
        </w:tc>
      </w:tr>
      <w:tr>
        <w:tc>
          <w:tcPr>
            <w:tcW w:type="dxa" w:w="3120"/>
          </w:tcPr>
          <w:p>
            <w:r>
              <w:t>floating-ball/src/main/main.js</w:t>
            </w:r>
          </w:p>
        </w:tc>
        <w:tc>
          <w:tcPr>
            <w:tcW w:type="dxa" w:w="3120"/>
          </w:tcPr>
          <w:p>
            <w:r>
              <w:t>19 KB</w:t>
            </w:r>
          </w:p>
        </w:tc>
        <w:tc>
          <w:tcPr>
            <w:tcW w:type="dxa" w:w="3120"/>
          </w:tcPr>
          <w:p>
            <w:r>
              <w:t>悬浮球主进程</w:t>
            </w:r>
          </w:p>
        </w:tc>
      </w:tr>
    </w:tbl>
    <w:p>
      <w:pPr>
        <w:pStyle w:val="Heading1"/>
      </w:pPr>
      <w:r>
        <w:t>三、三个照抄过来的关键设计</w:t>
      </w:r>
    </w:p>
    <w:p>
      <w:pPr>
        <w:pStyle w:val="Heading2"/>
      </w:pPr>
      <w:r>
        <w:t>3.1 确定性引用自检（agent.ts 第 599–671 行）</w:t>
      </w:r>
    </w:p>
    <w:p>
      <w:r>
        <w:t>材料里宣称的「最硬的差异点」属实，实现完整：extractCitationTokens 抽取 → normArticleNo 归一化（去空白 + 去全半角括号）→ articleCovers 覆盖判定（完全相等 或 条文号以引用为前缀）→ auditCitations 逐条比对并点名未覆盖项。</w:t>
      </w:r>
    </w:p>
    <w:p>
      <w:r>
        <w:t>官方正则（逐字）：第[0-9〇零一二三四五六七八九十百千万]+条(?:(?:之|の|ノ)[0-9〇零一二三四五六七八九十百千万]+)?|§\s*\d+(?:[.\-]\d+)?(?:\(\d+\))?</w:t>
      </w:r>
    </w:p>
    <w:p>
      <w:pPr>
        <w:pStyle w:val="Heading2"/>
      </w:pPr>
      <w:r>
        <w:t>3.2 图谱法条节点只写法律名、不写条号</w:t>
      </w:r>
    </w:p>
    <w:p>
      <w:r>
        <w:t>原注释（db.rs 第 1277 行）：「人工策展的案由种子（涉外优先；法条节点只写「法律名」，不写具体条号，避免编造）」</w:t>
      </w:r>
    </w:p>
    <w:p>
      <w:r>
        <w:t>这是从源头杜绝编造条号的设计——图谱负责「该查哪部法」，条号必须由检索工具真实返回。本实现严格继承，并加了测试固化。</w:t>
      </w:r>
    </w:p>
    <w:p>
      <w:pPr>
        <w:pStyle w:val="Heading2"/>
      </w:pPr>
      <w:r>
        <w:t>3.3 候选边 + 人工确认制</w:t>
      </w:r>
    </w:p>
    <w:p>
      <w:r>
        <w:t>kgTypes.ts 定义 KG_CANDIDATE_CONFIDENCE = 0.8，低于此值的关系需要人工复核。任务真实命中的、图谱里没有的法，只登记为 0.6 置信度候选边，confirmed 后才升为 1.0 并作为后续规划依据（db.rs 的 kg_add_candidate / kg_confirm_edge）。</w:t>
      </w:r>
    </w:p>
    <w:p>
      <w:pPr>
        <w:pStyle w:val="Heading1"/>
      </w:pPr>
      <w:r>
        <w:t>四、G11 · 引用自检正则的 §NN(n) 覆盖缺口</w:t>
      </w:r>
    </w:p>
    <w:p>
      <w:r>
        <w:t>实测行为（Python re 与 JS matchAll 语义一致，均为全局非重叠匹配）：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9EEF5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4680"/>
            <w:shd w:fill="E9EEF5"/>
          </w:tcPr>
          <w:p>
            <w:r>
              <w:rPr>
                <w:b/>
              </w:rPr>
              <w:t>抽出 token</w:t>
            </w:r>
          </w:p>
        </w:tc>
      </w:tr>
      <w:tr>
        <w:tc>
          <w:tcPr>
            <w:tcW w:type="dxa" w:w="4680"/>
          </w:tcPr>
          <w:p>
            <w:r>
              <w:t>Under §1125 the claim stands.</w:t>
            </w:r>
          </w:p>
        </w:tc>
        <w:tc>
          <w:tcPr>
            <w:tcW w:type="dxa" w:w="4680"/>
          </w:tcPr>
          <w:p>
            <w:r>
              <w:t>§1125</w:t>
            </w:r>
          </w:p>
        </w:tc>
      </w:tr>
      <w:tr>
        <w:tc>
          <w:tcPr>
            <w:tcW w:type="dxa" w:w="4680"/>
          </w:tcPr>
          <w:p>
            <w:r>
              <w:t>Under §1125(a) the claim stands.</w:t>
            </w:r>
          </w:p>
        </w:tc>
        <w:tc>
          <w:tcPr>
            <w:tcW w:type="dxa" w:w="4680"/>
          </w:tcPr>
          <w:p>
            <w:r>
              <w:t>§1125（(a) 未纳入）</w:t>
            </w:r>
          </w:p>
        </w:tc>
      </w:tr>
      <w:tr>
        <w:tc>
          <w:tcPr>
            <w:tcW w:type="dxa" w:w="4680"/>
          </w:tcPr>
          <w:p>
            <w:r>
              <w:t>See §101-1 and §362.</w:t>
            </w:r>
          </w:p>
        </w:tc>
        <w:tc>
          <w:tcPr>
            <w:tcW w:type="dxa" w:w="4680"/>
          </w:tcPr>
          <w:p>
            <w:r>
              <w:t>§101-1、§362</w:t>
            </w:r>
          </w:p>
        </w:tc>
      </w:tr>
    </w:tbl>
    <w:p>
      <w:r>
        <w:t>后果：§1125(a) 与 §1125 经 normArticleNo 归一化后都是 "§1125"，两处引用被当成同一处（去重后只算 1 处）。对「同一法条不同款项」这种高频引用形式，自检粒度偏粗。</w:t>
      </w:r>
    </w:p>
    <w:p>
      <w:r>
        <w:t>影响方向是偏严——§9999 之类依然会被如实点名，不会漏报编造条号；但「引对了法条、引错款项」这种情况自检发现不了。</w:t>
      </w:r>
    </w:p>
    <w:p>
      <w:r>
        <w:t>根本原因：正则里 (?:\(\d+\))? 只允许纯数字款项（如 (1)），而美国法典实务中更常见的是 (a) 这类字母款项——这才是漏掉的真正原因。</w:t>
      </w:r>
    </w:p>
    <w:p>
      <w:r>
        <w:t>修法建议（一行修复）：把 \(\d+\) 改成 \([0-9a-zA-Z]+\)，即可覆盖 (a) 这类字母款项。</w:t>
      </w:r>
    </w:p>
    <w:p>
      <w:pPr>
        <w:pStyle w:val="Heading1"/>
      </w:pPr>
      <w:r>
        <w:t>五、G12 · 图谱法名与法库篇名的中英不一致，导致适用性校验误报</w:t>
      </w:r>
    </w:p>
    <w:p>
      <w:r>
        <w:t>第二段自检 auditApplicability 用 sameLaw（名称互含即同法）判定「引用是否落在案由图谱的请求权基础范围内」。但两侧命名口径不同：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9EEF5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4680"/>
            <w:shd w:fill="E9EEF5"/>
          </w:tcPr>
          <w:p>
            <w:r>
              <w:rPr>
                <w:b/>
              </w:rPr>
              <w:t>名称</w:t>
            </w:r>
          </w:p>
        </w:tc>
      </w:tr>
      <w:tr>
        <w:tc>
          <w:tcPr>
            <w:tcW w:type="dxa" w:w="4680"/>
          </w:tcPr>
          <w:p>
            <w:r>
              <w:t>图谱种子（db.rs KG_SEED）</w:t>
            </w:r>
          </w:p>
        </w:tc>
        <w:tc>
          <w:tcPr>
            <w:tcW w:type="dxa" w:w="4680"/>
          </w:tcPr>
          <w:p>
            <w:r>
              <w:t>美国法典 Title 15 — 商业与贸易（中文）</w:t>
            </w:r>
          </w:p>
        </w:tc>
      </w:tr>
      <w:tr>
        <w:tc>
          <w:tcPr>
            <w:tcW w:type="dxa" w:w="4680"/>
          </w:tcPr>
          <w:p>
            <w:r>
              <w:t>法库返回（laws.title）</w:t>
            </w:r>
          </w:p>
        </w:tc>
        <w:tc>
          <w:tcPr>
            <w:tcW w:type="dxa" w:w="4680"/>
          </w:tcPr>
          <w:p>
            <w:r>
              <w:t>United States Code, Title 15（英文）</w:t>
            </w:r>
          </w:p>
        </w:tc>
      </w:tr>
    </w:tbl>
    <w:p>
      <w:r>
        <w:t>两者互不包含 → 被误判为「超范围」。实测表现（端到端演示的真实输出）：</w:t>
      </w:r>
    </w:p>
    <w:p>
      <w:pPr>
        <w:pStyle w:val="ListBullet"/>
      </w:pPr>
      <w:r>
        <w:t>本案由图谱请求权基础：民法、美国法典 Title 15 — 商业与贸易、会社法</w:t>
      </w:r>
    </w:p>
    <w:p>
      <w:pPr>
        <w:pStyle w:val="ListBullet"/>
      </w:pPr>
      <w:r>
        <w:t>本次引用法条 3 部，落在案由范围内的 2 部</w:t>
      </w:r>
    </w:p>
    <w:p>
      <w:pPr>
        <w:pStyle w:val="ListBullet"/>
      </w:pPr>
      <w:r>
        <w:t>以下引用不在本案由图谱范围内（可能仍然相关，请人工判断）：「United States Code, Title 15」</w:t>
      </w:r>
    </w:p>
    <w:p>
      <w:r>
        <w:t>「可能仍然相关，请人工判断」这句兜底文案说明团队已经预见到这类情况，但把本该自动对上的情况推给人判断，会稀释第二段自检的价值。</w:t>
      </w:r>
    </w:p>
    <w:p>
      <w:r>
        <w:t>修法建议：kg_node 表已经有 name_alt 字段（表结构里写着），但种子播种时从未填入。建议：① 给图谱法条节点补英文别名；② sameLaw 改为同时比对 name 与 name_alt；③ 或更彻底——把图谱法条节点直接改用规范篇名（英文），中文名放 name_alt。</w:t>
      </w:r>
    </w:p>
    <w:p>
      <w:pPr>
        <w:pStyle w:val="Heading1"/>
      </w:pPr>
      <w:r>
        <w:t>六、复核确认无误的部分（可以放心写进材料）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9EEF5"/>
          </w:tcPr>
          <w:p>
            <w:r>
              <w:rPr>
                <w:b/>
              </w:rPr>
              <w:t>材料中的宣称</w:t>
            </w:r>
          </w:p>
        </w:tc>
        <w:tc>
          <w:tcPr>
            <w:tcW w:type="dxa" w:w="4680"/>
            <w:shd w:fill="E9EEF5"/>
          </w:tcPr>
          <w:p>
            <w:r>
              <w:rPr>
                <w:b/>
              </w:rPr>
              <w:t>复核结论</w:t>
            </w:r>
          </w:p>
        </w:tc>
      </w:tr>
      <w:tr>
        <w:tc>
          <w:tcPr>
            <w:tcW w:type="dxa" w:w="4680"/>
          </w:tcPr>
          <w:p>
            <w:r>
              <w:t>确定性引用自检（代码级规则，非模型自查）</w:t>
            </w:r>
          </w:p>
        </w:tc>
        <w:tc>
          <w:tcPr>
            <w:tcW w:type="dxa" w:w="4680"/>
          </w:tcPr>
          <w:p>
            <w:r>
              <w:t>属实，agent.ts 第 599–671 行完整实现</w:t>
            </w:r>
          </w:p>
        </w:tc>
      </w:tr>
      <w:tr>
        <w:tc>
          <w:tcPr>
            <w:tcW w:type="dxa" w:w="4680"/>
          </w:tcPr>
          <w:p>
            <w:r>
              <w:t>知识图谱驱动规划（案由 → 要件 → 请求权基础）</w:t>
            </w:r>
          </w:p>
        </w:tc>
        <w:tc>
          <w:tcPr>
            <w:tcW w:type="dxa" w:w="4680"/>
          </w:tcPr>
          <w:p>
            <w:r>
              <w:t>属实，kg.ts + db.rs 完整实现</w:t>
            </w:r>
          </w:p>
        </w:tc>
      </w:tr>
      <w:tr>
        <w:tc>
          <w:tcPr>
            <w:tcW w:type="dxa" w:w="4680"/>
          </w:tcPr>
          <w:p>
            <w:r>
              <w:t>图谱自进化（候选边 + 人工确认制）</w:t>
            </w:r>
          </w:p>
        </w:tc>
        <w:tc>
          <w:tcPr>
            <w:tcW w:type="dxa" w:w="4680"/>
          </w:tcPr>
          <w:p>
            <w:r>
              <w:t>属实，kg_add_candidate / kg_confirm_edge</w:t>
            </w:r>
          </w:p>
        </w:tc>
      </w:tr>
      <w:tr>
        <w:tc>
          <w:tcPr>
            <w:tcW w:type="dxa" w:w="4680"/>
          </w:tcPr>
          <w:p>
            <w:r>
              <w:t>法条适用性二段校验</w:t>
            </w:r>
          </w:p>
        </w:tc>
        <w:tc>
          <w:tcPr>
            <w:tcW w:type="dxa" w:w="4680"/>
          </w:tcPr>
          <w:p>
            <w:r>
              <w:t>属实，agent.ts 第 673–717 行</w:t>
            </w:r>
          </w:p>
        </w:tc>
      </w:tr>
      <w:tr>
        <w:tc>
          <w:tcPr>
            <w:tcW w:type="dxa" w:w="4680"/>
          </w:tcPr>
          <w:p>
            <w:r>
              <w:t>5 类文书任务 + 各自输出骨架</w:t>
            </w:r>
          </w:p>
        </w:tc>
        <w:tc>
          <w:tcPr>
            <w:tcW w:type="dxa" w:w="4680"/>
          </w:tcPr>
          <w:p>
            <w:r>
              <w:t>属实，TASK_KINDS / KIND_GUIDES</w:t>
            </w:r>
          </w:p>
        </w:tc>
      </w:tr>
      <w:tr>
        <w:tc>
          <w:tcPr>
            <w:tcW w:type="dxa" w:w="4680"/>
          </w:tcPr>
          <w:p>
            <w:r>
              <w:t>FTS5 检索（trigram + BM25，短词回退 LIKE）</w:t>
            </w:r>
          </w:p>
        </w:tc>
        <w:tc>
          <w:tcPr>
            <w:tcW w:type="dxa" w:w="4680"/>
          </w:tcPr>
          <w:p>
            <w:r>
              <w:t>属实，laws_fts 虚拟表 + 回退分支</w:t>
            </w:r>
          </w:p>
        </w:tc>
      </w:tr>
      <w:tr>
        <w:tc>
          <w:tcPr>
            <w:tcW w:type="dxa" w:w="4680"/>
          </w:tcPr>
          <w:p>
            <w:r>
              <w:t>零依赖 OOXML 导出 .docx（含原生表格）</w:t>
            </w:r>
          </w:p>
        </w:tc>
        <w:tc>
          <w:tcPr>
            <w:tcW w:type="dxa" w:w="4680"/>
          </w:tcPr>
          <w:p>
            <w:r>
              <w:t>属实，docx.rs 17.8 KB</w:t>
            </w:r>
          </w:p>
        </w:tc>
      </w:tr>
      <w:tr>
        <w:tc>
          <w:tcPr>
            <w:tcW w:type="dxa" w:w="4680"/>
          </w:tcPr>
          <w:p>
            <w:r>
              <w:t>多模态材料本地提取</w:t>
            </w:r>
          </w:p>
        </w:tc>
        <w:tc>
          <w:tcPr>
            <w:tcW w:type="dxa" w:w="4680"/>
          </w:tcPr>
          <w:p>
            <w:r>
              <w:t>属实，office.rs 39.8 KB</w:t>
            </w:r>
          </w:p>
        </w:tc>
      </w:tr>
      <w:tr>
        <w:tc>
          <w:tcPr>
            <w:tcW w:type="dxa" w:w="4680"/>
          </w:tcPr>
          <w:p>
            <w:r>
              <w:t>「自我进化」页是方案稿、非强化学习</w:t>
            </w:r>
          </w:p>
        </w:tc>
        <w:tc>
          <w:tcPr>
            <w:tcW w:type="dxa" w:w="4680"/>
          </w:tcPr>
          <w:p>
            <w:r>
              <w:t>口径诚实，源码与 README 均如实标注</w:t>
            </w:r>
          </w:p>
        </w:tc>
      </w:tr>
      <w:tr>
        <w:tc>
          <w:tcPr>
            <w:tcW w:type="dxa" w:w="4680"/>
          </w:tcPr>
          <w:p>
            <w:r>
              <w:t>预置法库 git 忽略不入库</w:t>
            </w:r>
          </w:p>
        </w:tc>
        <w:tc>
          <w:tcPr>
            <w:tcW w:type="dxa" w:w="4680"/>
          </w:tcPr>
          <w:p>
            <w:r>
              <w:t>属实，源码 README 第 158 行明确说明</w:t>
            </w:r>
          </w:p>
        </w:tc>
      </w:tr>
    </w:tbl>
    <w:p>
      <w:pPr>
        <w:pStyle w:val="Heading1"/>
      </w:pPr>
      <w:r>
        <w:t>七、一个额外的好消息（降低 G4 整改成本）</w:t>
      </w:r>
    </w:p>
    <w:p>
      <w:r>
        <w:t>源码 README 第 8 行明确写了「本文档为 feature/赛事版 分支口径」，且 package.json 的 version 只在分支内升级。这说明团队本来就是按分支管理赛事口径的——因此 G4（赛事口径全量重写、消除「AI 杭州 码动未来」痕迹）可以只在该分支上做一次，不必担心污染主分支。</w:t>
      </w:r>
    </w:p>
    <w:p>
      <w:r>
        <w:t>参考来源：openJiuwen 官方赛事页 developer.huaweicloud.com/competition/information/1300000328；法元源码仓 github.com/lin612320/Legal-Workspace。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