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合同审查意见书</w:t>
      </w:r>
    </w:p>
    <w:p>
      <w:r>
        <w:t>法元 · Faron 文书智能体（小元） 出品</w:t>
      </w:r>
    </w:p>
    <w:p>
      <w:r>
        <w:t>任务类型：合同审查</w:t>
      </w:r>
    </w:p>
    <w:p>
      <w:r>
        <w:t>命中案由：涉外合资经营合同纠纷</w:t>
      </w:r>
    </w:p>
    <w:p>
      <w:r>
        <w:t>生成时间：2026-10-15 00:14:55</w:t>
      </w:r>
    </w:p>
    <w:p/>
    <w:p>
      <w:pPr>
        <w:pStyle w:val="Heading1"/>
      </w:pPr>
      <w:r>
        <w:t>一、合同基本情况</w:t>
      </w:r>
    </w:p>
    <w:p>
      <w:r>
        <w:t>本案为中外合资经营合同纠纷，标的为中日合资公司的出资义务履行与经营决策争议。</w:t>
      </w:r>
    </w:p>
    <w:p>
      <w:r>
        <w:t>任务类型：合同审查（生成《合同审查意见书》（.docx））。</w:t>
      </w:r>
    </w:p>
    <w:p>
      <w:r>
        <w:t>适用文书骨架：一、合同基本情况；二、逐条风险与修改建议（风险等级 / 原文条款 / 问题 / 修改建议）；三、重点条款专项意见（违约责任、知识产权、争议解决、保密）；四、引用自检；五、总体结论与谈判策略。</w:t>
      </w:r>
    </w:p>
    <w:p>
      <w:pPr>
        <w:pStyle w:val="Heading1"/>
      </w:pPr>
      <w:r>
        <w:t>二、逐条风险与修改建议</w:t>
      </w:r>
    </w:p>
    <w:p>
      <w:r>
        <w:t>风险一（高）｜原文条款：出资时间表与违约责任约定不明。</w:t>
      </w:r>
    </w:p>
    <w:p>
      <w:r>
        <w:t xml:space="preserve">  问题：未约定迟延出资的违约金计算方式与催告程序。</w:t>
      </w:r>
    </w:p>
    <w:p>
      <w:r>
        <w:t xml:space="preserve">  修改建议：补充书面催告 + 逾期违约金条款，并明确继续履行请求权。</w:t>
      </w:r>
    </w:p>
    <w:p>
      <w:r>
        <w:t>风险二（中）｜原文条款：董事会表决机制。</w:t>
      </w:r>
    </w:p>
    <w:p>
      <w:r>
        <w:t xml:space="preserve">  问题：未约定僵局打破机制。</w:t>
      </w:r>
    </w:p>
    <w:p>
      <w:r>
        <w:t xml:space="preserve">  修改建议：引入递进表决或第三方调解条款。</w:t>
      </w:r>
    </w:p>
    <w:p>
      <w:pPr>
        <w:pStyle w:val="Heading1"/>
      </w:pPr>
      <w:r>
        <w:t>三、重点条款专项意见</w:t>
      </w:r>
    </w:p>
    <w:p>
      <w:r>
        <w:t>1. 违约责任：依 会社法 主张继续履行与损害赔偿；</w:t>
      </w:r>
    </w:p>
    <w:p>
      <w:r>
        <w:t>2. 公司治理：依 第五百二十二条 的诚信履行原则，</w:t>
      </w:r>
    </w:p>
    <w:p>
      <w:r>
        <w:t xml:space="preserve">   董事会决议应符合章程与股东会授权范围；</w:t>
      </w:r>
    </w:p>
    <w:p>
      <w:r>
        <w:t>3. 争议解决：建议明确准据法与仲裁地。</w:t>
      </w:r>
    </w:p>
    <w:p>
      <w:r>
        <w:t>**第9999条**（起草员另行援引，未在本次检索范围内 —— 这是一处故意埋入的库外条号）</w:t>
      </w:r>
    </w:p>
    <w:p>
      <w:pPr>
        <w:pStyle w:val="Heading1"/>
      </w:pPr>
      <w:r>
        <w:t>四、引用自检</w:t>
      </w:r>
    </w:p>
    <w:p>
      <w:pPr>
        <w:pStyle w:val="ListBullet"/>
      </w:pPr>
      <w:r>
        <w:t>识别到条文号引用 2 处（去重）</w:t>
      </w:r>
    </w:p>
    <w:p>
      <w:pPr>
        <w:pStyle w:val="ListBullet"/>
      </w:pPr>
      <w:r>
        <w:t>与「本次工具真实返回」法条对应：1/2</w:t>
      </w:r>
    </w:p>
    <w:p>
      <w:pPr>
        <w:pStyle w:val="ListBullet"/>
      </w:pPr>
      <w:r>
        <w:t>以下引用未在工具返回中找到对应条文（可能来自用户材料原文或模型笔误，请人工核实后再采用）：</w:t>
      </w:r>
    </w:p>
    <w:p>
      <w:r>
        <w:t xml:space="preserve">  「第9999条」</w:t>
      </w:r>
    </w:p>
    <w:p>
      <w:pPr>
        <w:pStyle w:val="ListBullet"/>
      </w:pPr>
      <w:r>
        <w:t>自检为确定性规则校验：按中文/日文「第X条(之Y/のY)」、美国法典「§NN」等条文号格式识别正文引用，并判定每条引用是否能在「本次工具真实返回」的法条中找到对应条文号；未覆盖项仅提示人工核实，不视为有效引用。</w:t>
      </w:r>
    </w:p>
    <w:p>
      <w:r>
        <w:t>第二段：法条适用性校验（知识图谱）</w:t>
      </w:r>
    </w:p>
    <w:p>
      <w:pPr>
        <w:pStyle w:val="ListBullet"/>
      </w:pPr>
      <w:r>
        <w:t>本案由图谱请求权基础：民法、Civil Code、美国法典 Title 15 — 商业与贸易、United States Code, Title 15、会社法、Companies Act</w:t>
      </w:r>
    </w:p>
    <w:p>
      <w:pPr>
        <w:pStyle w:val="ListBullet"/>
      </w:pPr>
      <w:r>
        <w:t>本次引用法条 3 部，落在案由范围内的 3 部</w:t>
      </w:r>
    </w:p>
    <w:p>
      <w:pPr>
        <w:pStyle w:val="ListBullet"/>
      </w:pPr>
      <w:r>
        <w:t>全部引用均落在本案由图谱的请求权基础范围内</w:t>
      </w:r>
    </w:p>
    <w:p>
      <w:pPr>
        <w:pStyle w:val="Heading1"/>
      </w:pPr>
      <w:r>
        <w:t>五、总体结论与谈判策略</w:t>
      </w:r>
    </w:p>
    <w:p>
      <w:r>
        <w:t>建议以继续履行为主、损害赔偿为辅的谈判基调，并在补充协议中固定出资时间表。</w:t>
      </w:r>
    </w:p>
    <w:p>
      <w:pPr>
        <w:pStyle w:val="Heading1"/>
      </w:pPr>
      <w:r>
        <w:t>附一：第一段引用自检明细（Word 原生表格）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引用 token</w:t>
            </w:r>
          </w:p>
        </w:tc>
        <w:tc>
          <w:tcPr>
            <w:tcW w:type="dxa" w:w="2880"/>
          </w:tcPr>
          <w:p>
            <w:r>
              <w:t>是否命中工具真实返回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第五百二十二条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有效引用</w:t>
            </w:r>
          </w:p>
        </w:tc>
      </w:tr>
      <w:tr>
        <w:tc>
          <w:tcPr>
            <w:tcW w:type="dxa" w:w="2880"/>
          </w:tcPr>
          <w:p>
            <w:r>
              <w:t>第9999条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未覆盖·不视为有效引用</w:t>
            </w:r>
          </w:p>
        </w:tc>
      </w:tr>
    </w:tbl>
    <w:p>
      <w:pPr>
        <w:pStyle w:val="Heading1"/>
      </w:pPr>
      <w:r>
        <w:t>附二：第二段法条适用性校验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图谱请求权基础</w:t>
            </w:r>
          </w:p>
        </w:tc>
        <w:tc>
          <w:tcPr>
            <w:tcW w:type="dxa" w:w="2880"/>
          </w:tcPr>
          <w:p>
            <w:r>
              <w:t>本次引用法条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民法、Civil Code、美国法典 Title 15 — 商业与贸易、United States Code, Title 15、会社法、Companies Act</w:t>
            </w:r>
          </w:p>
        </w:tc>
        <w:tc>
          <w:tcPr>
            <w:tcW w:type="dxa" w:w="2880"/>
          </w:tcPr>
          <w:p>
            <w:r>
              <w:t>会社法、民法、United States Code, Title 15</w:t>
            </w:r>
          </w:p>
        </w:tc>
        <w:tc>
          <w:tcPr>
            <w:tcW w:type="dxa" w:w="2880"/>
          </w:tcPr>
          <w:p>
            <w:r>
              <w:t>范围内 3 部；全部在范围内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