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>ПЗ-02 Результат учебного проекта</w:t>
      </w:r>
    </w:p>
    <w:p>
      <w:pPr>
        <w:pStyle w:val="Subtitle"/>
      </w:pPr>
      <w:r>
        <w:t>Домены, границы и заинтересованные стороны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Сарычев Антоний Евгеньевич · ДЭ 39-26 · 16 октября 2026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Объект: выдача С01 и суточный отчёт. Основание: синтетический кейс К01–К10.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color w:val="55646A"/>
          <w:sz w:val="24"/>
        </w:rPr>
        <w:t>Тестовый комплект сравнения LLM. Подготовлен агентом Codex.</w:t>
      </w:r>
    </w:p>
    <w:p>
      <w:pPr>
        <w:pStyle w:val="Heading2"/>
        <w:keepNext/>
      </w:pPr>
      <w:r>
        <w:rPr>
          <w:color w:val="000000"/>
        </w:rPr>
        <w:t>Карта доменов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  <w:cantSplit/>
          <w:tblHeader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Домен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Объекты AS-IS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Значимая связь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Бизнес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Выдача, подтверждение, свод; Р01–Р04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Р02 подтверждает факт, Р03 использует подтверждение.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Данные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D01 операция, D04 подтверждение, DOC-04 отчёт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OP связывает выдачу и подтверждение.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Приложения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APP-01 склад, APP-02 сообщения, APP-03 свод; APP-04 внешний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Р03 вручную соединяет строки и сообщения.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Технологии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T01 склад, T02 бухгалтер, T03 файлы, T04 связь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Отказ T04 задерживает общий свод при сохранении локального ввода.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color w:val="000000"/>
        </w:rPr>
        <w:t>Участник и представление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  <w:cantSplit/>
          <w:tblHeader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Роль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Вопрос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Что показать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Р01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Получена ли запись выдачи?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Состояние доставки по OP.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Р02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Какое количество и какую группу подтверждаю?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Карточку OP и правило полномочий.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Р03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Что включить в отчёт?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Правила учёта и список исключений.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Р04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Можно ли считать отчёт полным?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Итог, число учтённых/ожидаемых OP, нерешённые случаи.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Р05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Какие данные и средства восстановить?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Схему размещения, зависимости и сценарий приёмки.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color w:val="000000"/>
        </w:rPr>
        <w:t>Схема и правила чтения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</w:r>
      <w:r>
        <w:drawing>
          <wp:inline xmlns:a="http://schemas.openxmlformats.org/drawingml/2006/main" xmlns:pic="http://schemas.openxmlformats.org/drawingml/2006/picture">
            <wp:extent cx="5760000" cy="365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00000"/>
        </w:rPr>
        <w:t>Диагноз и междоменные последствия</w:t>
      </w:r>
    </w:p>
    <w:p>
      <w:pPr>
        <w:keepLines/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Критерий: у бизнес-вопроса есть необходимые данные, прикладная функция и техническая опора. Цепочка 1: достоверный свод → OP/статус → APP-03 → T02/T03. Цепочка 2: подтверждение выдачи → DOC-03 с OP → APP-02 и сопоставление Р03 → устройства Р02/Р03 и канал. По К03 нет автоматического списка исключений: изменение DOC-04 требует одновременно функции APP-03 и порядка работы Р03.</w:t>
      </w:r>
    </w:p>
    <w:p>
      <w:pPr>
        <w:pStyle w:val="Heading2"/>
        <w:keepNext/>
      </w:pPr>
      <w:r>
        <w:rPr>
          <w:color w:val="000000"/>
        </w:rPr>
        <w:t>Ответ на новое условие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Одного добавления OP в сообщение недостаточно. В APP-03 нужно изменить связь сопоставления с названия корма на operation_id, сохранив корм и группу как проверяемые атрибуты. Р03 должен видеть несопоставленные и противоречивые записи. Проверка передаёт две выдачи одного корма с разными OP: они должны остаться разными фактами.</w:t>
      </w:r>
    </w:p>
    <w:p>
      <w:pPr>
        <w:pStyle w:val="Heading2"/>
        <w:keepNext/>
      </w:pPr>
      <w:r>
        <w:rPr>
          <w:color w:val="000000"/>
        </w:rPr>
        <w:t>Применение ИИ и агентная проверка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Сверены все Р01–Р05 и две цепочки; неизвестный API APP-04 не принят за существующую интеграцию.</w:t>
      </w:r>
    </w:p>
    <w:p>
      <w:pPr>
        <w:pStyle w:val="Heading2"/>
        <w:keepNext/>
      </w:pPr>
      <w:r>
        <w:rPr>
          <w:color w:val="000000"/>
          <w:sz w:val="24"/>
        </w:rPr>
        <w:t>Источники и неизвестное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2"/>
        </w:rPr>
        <w:t>К01–К05; ПЗ-1; Л2, слайды 22–40, 90–95.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ПЗ-02. Бланк ответа</dc:title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