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ПЗ-07. Бланк ответа</w:t>
      </w:r>
    </w:p>
    <w:p>
      <w:pPr>
        <w:pStyle w:val="Subtitle"/>
      </w:pPr>
      <w:r>
        <w:t>Домен приложений: покрытие функций и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Каталог приложений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Назначение / пользователь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Вход → выход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Покрытие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APP-01 / APP-02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APP-03 / APP-04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выдачи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Распознавание повтора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Выявление конфликта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Выпуск суточного свода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Локальные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Объект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Вывод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Основание / предел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Руководитель предлагает купить CRM, чтобы устранить дубли OP в отчёте. Какого доказательства не хватает для такого решения?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ПЗ-07.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