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ПЗ-04 Результат учебного проекта</w:t>
      </w:r>
    </w:p>
    <w:p>
      <w:pPr>
        <w:pStyle w:val="Subtitle"/>
      </w:pPr>
      <w:r>
        <w:t>Бизнес-домен: роли и организационные разрывы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AS-IS: ответственность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Действие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Кто выполняет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Кто принимает и основание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Зарегистрировать выдачу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 подтверждает хозяйственный смысл; К01–К02.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Подтвердить количество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 отвечает за решение; отдельная приёмка в К01 не задана.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Разобрать конфликт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 выявляет, Р01/Р02 уточняют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Формальная процедура принятия исправления не определена; К02.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Подготовить свод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Р04 использует отчёт; формальный акт приёмки не задан.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Восстановить файлы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Содержательная приёмка владельцем данных не описана; К05.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Проектное распределение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Поправка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Проектное правило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Что затронуто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Исправление конфликта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 принимает обоснованное исправление; исходные варианты не удаляются.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D01/D04: автор, решение, время, основание; B: история и отдельное подтверждение.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Восстановление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Р05 восстанавливает, Р03 сверяет OP/статусы/итог, Р02 разрешает смысловые расхождения.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Независимая копия T03, контрольная сводка, регламент приёмки.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28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Разрыв 1: права Р01/Р03 изменять общую папку и отсутствие журнала (К05) допускают незаметную правку после подтверждения. Разрыв 2: К02 не задаёт принятие исправления и замещение Р02. Предлагаем раздельные права создания/подтверждения и журнал; проверка должна показать отказ самоподтверждения и сохранение истории. Это проектные полномочия, не результат испытания сервера.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Р05 не получает право подтверждения из-за отпуска Р02. Р04 должен назначить компетентного заместителя Р02 отдельным правилом полномочий с периодом действия и запретом самоподтверждения. Пока заместителя нет, OP остаются ожидающими, отчёт — предварительным и неполным. В журнале фиксируются роль заместителя, время и основание решения.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Проверено разделение подчинения, исполнения и приёмки; Р05 не назначен владельцем производственного смысла.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К01–К05, К08; ПЗ-2–3; Л3, 20–34; Л4, 77–81.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ПЗ-04.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