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ПЗ-05 Результат учебного проекта</w:t>
      </w:r>
    </w:p>
    <w:p>
      <w:pPr>
        <w:pStyle w:val="Subtitle"/>
      </w:pPr>
      <w:r>
        <w:t>Бизнес-домен: процесс AS-IS и локальное улучшение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Сарычев Антоний Евгеньевич · ДЭ 39-26 · 16 октября 2026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Объект: выдача С01 и суточный отчёт. Основание: синтетический кейс К01–К10.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Тестовый комплект сравнения LLM. Подготовлен агентом Codex.</w:t>
      </w:r>
    </w:p>
    <w:p>
      <w:pPr>
        <w:pStyle w:val="Heading2"/>
        <w:keepNext/>
      </w:pPr>
      <w:r>
        <w:rPr>
          <w:color w:val="000000"/>
        </w:rPr>
        <w:t>Шаги процесса AS-IS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Шаг и роль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Вход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Выход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1. Р02 формирует потребность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Потребность G01/G02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DOC-01.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2. Р01 физически выдаёт корм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DOC-01, запас С01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Корм группе; факт выдачи.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3. Р01 записывает OP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Факт, корм, группа, кг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DOC-02 в APP-01.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4. Р01 передаёт файл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DOC-02; конец смены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Файл на T03, возможен повтор.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5. Р02 отправляет подтверждение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Проверенный факт выдачи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DOC-03 через APP-02.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6. Р03 сопоставляет и уточняет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DOC-02 и DOC-03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При однозначности свод; иначе запрос Р01/Р02 и возврат к сверке.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7. Р03 передаёт отчёт Р04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Числовые строки APP-03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DOC-04; автоматического признака полноты нет.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Локальное изменение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Точка AS-IS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Предложение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Связанный домен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Ручной перенос смешивает бесспорное и неясное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Разделить учтённые и нерешённые OP до выпуска отчёта.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Данные: состояния; приложение: два списка.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Р04 получает сумму без полноты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Формировать предварительный отчёт со статусом и перечнем исключений.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Бизнес: правила выпуска; DOC-04 и функция APP-03.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Схема и правила чтения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36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00000"/>
        </w:rPr>
        <w:t>Диагноз и междоменные последствия</w:t>
      </w:r>
    </w:p>
    <w:p>
      <w:pPr>
        <w:keepLines/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По К03 повторный перенос возникает после повторной отправки файла, а полнота теряется при передаче только суммы строк. Развилка «сведения однозначны?» относится к ручной сверке AS-IS, а автоматическое удержание неполного отчёта ещё не реализовано. Предлагаемый фрагмент: сверка → разделение допустимых/нерешённых → предварительный DOC-04. Возврат по ветви уточнения не ждёт одновременного выполнения «да» и «нет».</w:t>
      </w:r>
      <w:r>
        <w:br/>
        <w:drawing>
          <wp:inline xmlns:a="http://schemas.openxmlformats.org/drawingml/2006/main" xmlns:pic="http://schemas.openxmlformats.org/drawingml/2006/picture">
            <wp:extent cx="5760000" cy="13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rPr>
          <w:color w:val="000000"/>
        </w:rPr>
        <w:t>Ответ на новое условие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Физическую выдачу продолжаем и регистрируем локально независимо от задержки подтверждения. В DOC-04 добавляем время среза, статус «предварительный, неполный» и OP, ожидающие Р02. После подтверждения формируем новую версию отчёта со ссылкой на прежнюю. Неизвестная масса не заменяется нулём, а окончательная версия выпускается после разрешения существенных расхождений.</w:t>
      </w:r>
    </w:p>
    <w:p>
      <w:pPr>
        <w:pStyle w:val="Heading2"/>
        <w:keepNext/>
      </w:pPr>
      <w:r>
        <w:rPr>
          <w:color w:val="000000"/>
        </w:rPr>
        <w:t>Применение ИИ и агентная проверка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Сверены семь шагов и ветвь уточнения; схема подписана как простая блок-схема, без заявления о полной BPMN-нотации.</w:t>
      </w:r>
    </w:p>
    <w:p>
      <w:pPr>
        <w:pStyle w:val="Heading2"/>
        <w:keepNext/>
      </w:pPr>
      <w:r>
        <w:rPr>
          <w:color w:val="000000"/>
          <w:sz w:val="24"/>
        </w:rPr>
        <w:t>Источники и неизвестное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2"/>
        </w:rPr>
        <w:t>К02–К04; ПЗ-3–4; Л3, 13–15, 56–67, 70–79, 84–88.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ПЗ-05.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