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>ПЗ-06 Результат учебного проекта</w:t>
      </w:r>
    </w:p>
    <w:p>
      <w:pPr>
        <w:pStyle w:val="Subtitle"/>
      </w:pPr>
      <w:r>
        <w:t>Домен данных: объекты, качество и правила ведения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Сарычев Антоний Евгеньевич · ДЭ 39-26 · 16 октября 2026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Объект: выдача С01 и суточный отчёт. Основание: синтетический кейс К01–К10.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color w:val="55646A"/>
          <w:sz w:val="24"/>
        </w:rPr>
        <w:t>Тестовый комплект сравнения LLM. Подготовлен агентом Codex.</w:t>
      </w:r>
    </w:p>
    <w:p>
      <w:pPr>
        <w:pStyle w:val="Heading2"/>
        <w:keepNext/>
      </w:pPr>
      <w:r>
        <w:rPr>
          <w:color w:val="000000"/>
        </w:rPr>
        <w:t>Словарь данных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  <w:cantSplit/>
          <w:tblHeader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Поле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Смысл и пример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Правило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message_id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Доставка M01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Отличать от хозяйственного факта; сохранять историю.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operation_id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Выдача OP-101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Устойчив при повторной доставке.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feed_code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F01 силос; F02 комбикорм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Согласованный справочник.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group_code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G01/G02, получатель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Проверяемая ссылка на группу.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quantity_kg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Положительная масса, например 100 кг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Число &gt;0; пропуск не является нулём.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status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confirmed / pending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Только confirmed допускается при остальных выполненных правилах.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color w:val="000000"/>
        </w:rPr>
        <w:t>Диагностика записей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  <w:cantSplit/>
          <w:tblHeader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Записи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Наблюдение и критерий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3"/>
              </w:rPr>
              <w:t>Решение по данным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M01 / M03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OP-101, 100 кг, confirmed: точный повтор.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Учесть 100 кг один раз, обе доставки сохранить.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M04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OP-103, масса отсутствует.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Не включать; Р01 уточняет, Р02 подтверждает.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M05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OP-104, 50 кг, pending.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Не включать; ожидание Р02 показать отдельно.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M06 / M07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OP-105: 120 и 130 кг.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before="4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3"/>
              </w:rPr>
              <w:t>Обе строки исключить до решения Р02; не выбирать последнюю.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color w:val="000000"/>
        </w:rPr>
        <w:t>Схема и правила чтения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</w:r>
      <w:r>
        <w:drawing>
          <wp:inline xmlns:a="http://schemas.openxmlformats.org/drawingml/2006/main" xmlns:pic="http://schemas.openxmlformats.org/drawingml/2006/picture">
            <wp:extent cx="5760000" cy="365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5400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  <w:t>Связи модели: каждый D01 связан ровно с одним D02-кормом и одной D03-группой; один корм/группа имеют много выдач. Для снимка К06 D01 имеет 0..1 D04-подтверждение. Историю исправлений TO-BE следует хранить отдельно от неизменяемого снимка.</w:t>
      </w:r>
    </w:p>
    <w:p>
      <w:pPr>
        <w:pStyle w:val="Heading2"/>
        <w:keepNext/>
      </w:pPr>
      <w:r>
        <w:rPr>
          <w:color w:val="000000"/>
        </w:rPr>
        <w:t>Диагноз и междоменные последствия</w:t>
      </w:r>
    </w:p>
    <w:p>
      <w:pPr>
        <w:keepLines/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Критерий — один достоверный факт на один OP. В К06 девять сообщений о семи OP. Бесспорны OP-101/102/106/107: 100+200+80+30=410 кг. Это четыре операции; OP-103/104/105 остаются нерешёнными, поэтому отчёт неполный. В APP-03 нужны классификация и список исключений; Р03 выявляет расхождение, Р02 принимает хозяйственное уточнение.</w:t>
      </w:r>
    </w:p>
    <w:p>
      <w:pPr>
        <w:pStyle w:val="Heading2"/>
        <w:keepNext/>
        <w:pageBreakBefore/>
      </w:pPr>
      <w:r>
        <w:rPr>
          <w:color w:val="000000"/>
        </w:rPr>
        <w:t>Ответ на новое условие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Прибавлять 0,1 к quantity_kg нельзя: единицы различаются. При явно указанной тонне нормализуем значение по правилу 1 т = 1000 кг, сохраняя исходное значение и единицу в истории. Полученные 100 кг ещё требуют проверки OP, остальных полей и подтверждения. При неоднозначном разделителе или неизвестной единице строка остаётся на разборе, а не исправляется догадкой.</w:t>
      </w:r>
    </w:p>
    <w:p>
      <w:pPr>
        <w:pStyle w:val="Heading2"/>
        <w:keepNext/>
      </w:pPr>
      <w:r>
        <w:rPr>
          <w:color w:val="000000"/>
        </w:rPr>
        <w:t>Применение ИИ и агентная проверка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8"/>
        </w:rPr>
        <w:t>Сверены все девять строк CSV и четыре класса дефектов; 410 кг не объявлены полным расходом суток.</w:t>
      </w:r>
    </w:p>
    <w:p>
      <w:pPr>
        <w:pStyle w:val="Heading2"/>
        <w:keepNext/>
      </w:pPr>
      <w:r>
        <w:rPr>
          <w:color w:val="000000"/>
          <w:sz w:val="24"/>
        </w:rPr>
        <w:t>Источники и неизвестное</w:t>
      </w:r>
    </w:p>
    <w:p>
      <w:pPr>
        <w:spacing w:after="100"/>
      </w:pPr>
      <w:r>
        <w:rPr>
          <w:rFonts w:ascii="Times New Roman" w:hAnsi="Times New Roman" w:eastAsia="Times New Roman" w:cs="Times New Roman"/>
          <w:b w:val="0"/>
          <w:sz w:val="22"/>
        </w:rPr>
        <w:t>К02, К04, К06; Operations_PZ12.csv; ПЗ-5; Л4, 4–19, 22; Л3, 78–79.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646A"/>
        <w:sz w:val="18"/>
      </w:rPr>
      <w:t xml:space="preserve">EA · практикум v1 · 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646A"/>
        <w:sz w:val="18"/>
      </w:rPr>
      <w:t>АРХИТЕКТУРА ПРЕДПРИЯТИЙ И ИС  /  ПРАКТИКУМ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183F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Times New Roman" w:hAnsi="Times New Roman"/>
      <w:i/>
      <w:iCs/>
      <w:color w:val="183F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59" w:lineRule="auto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20"/>
    </w:pPr>
    <w:rPr>
      <w:rFonts w:ascii="Times New Roman" w:hAnsi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ПЗ-06. Бланк ответа</dc:title>
  <dc:subject>14 практических занятий · Лекции EA v6 · Учебная разработка</dc:subject>
  <dc:creator>Курс «Архитектура предприятий и информационных систем»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