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Times New Roman" w:cs="Times New Roman"/>
          <w:b/>
          <w:color w:val="183F49"/>
          <w:sz w:val="48"/>
        </w:rPr>
        <w:t>ПЗ-13. Бланк ответа</w:t>
      </w:r>
    </w:p>
    <w:p>
      <w:pPr>
        <w:pStyle w:val="Subtitle"/>
      </w:pPr>
      <w:r>
        <w:t>GAP, план перехода и сценарная оценка эффекта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ФИО: __________________    Группа: __________    Дата: __________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Объект: __________________    Основание: учебный кейс / свой разрешённый объект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Заполняйте результат, не описание выполнения. Удалите подсказки в квадратных скобках. Схемы вставляйте внутрь документа.</w:t>
      </w:r>
    </w:p>
    <w:p>
      <w:pPr>
        <w:pStyle w:val="Heading2"/>
      </w:pPr>
      <w:r>
        <w:t>GAP выбранного варианта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AC9CC"/>
          <w:left w:val="single" w:sz="4" w:color="BAC9CC"/>
          <w:bottom w:val="single" w:sz="4" w:color="BAC9CC"/>
          <w:right w:val="single" w:sz="4" w:color="BAC9CC"/>
          <w:insideH w:val="single" w:sz="4" w:color="BAC9CC"/>
          <w:insideV w:val="single" w:sz="4" w:color="BAC9CC"/>
        </w:tblBorders>
      </w:tblPr>
      <w:tblGrid>
        <w:gridCol w:w="2268"/>
        <w:gridCol w:w="3628"/>
        <w:gridCol w:w="3742"/>
      </w:tblGrid>
      <w:tr>
        <w:trPr>
          <w:tblHeader/>
          <w:cantSplit/>
        </w:trPr>
        <w:tc>
          <w:tcPr>
            <w:tcW w:type="dxa" w:w="226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Домен</w:t>
            </w:r>
          </w:p>
        </w:tc>
        <w:tc>
          <w:tcPr>
            <w:tcW w:type="dxa" w:w="362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AS-IS → TO-BE</w:t>
            </w:r>
          </w:p>
        </w:tc>
        <w:tc>
          <w:tcPr>
            <w:tcW w:type="dxa" w:w="3742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Работа, не сам разрыв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Бизнес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Данные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Приложения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Технологии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</w:tbl>
    <w:p>
      <w:pPr>
        <w:spacing w:after="20"/>
      </w:pPr>
    </w:p>
    <w:p>
      <w:pPr>
        <w:pStyle w:val="Heading2"/>
      </w:pPr>
      <w:r>
        <w:t>Три этапа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AC9CC"/>
          <w:left w:val="single" w:sz="4" w:color="BAC9CC"/>
          <w:bottom w:val="single" w:sz="4" w:color="BAC9CC"/>
          <w:right w:val="single" w:sz="4" w:color="BAC9CC"/>
          <w:insideH w:val="single" w:sz="4" w:color="BAC9CC"/>
          <w:insideV w:val="single" w:sz="4" w:color="BAC9CC"/>
        </w:tblBorders>
      </w:tblPr>
      <w:tblGrid>
        <w:gridCol w:w="2268"/>
        <w:gridCol w:w="3628"/>
        <w:gridCol w:w="3742"/>
      </w:tblGrid>
      <w:tr>
        <w:trPr>
          <w:tblHeader/>
          <w:cantSplit/>
        </w:trPr>
        <w:tc>
          <w:tcPr>
            <w:tcW w:type="dxa" w:w="226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Этап / зависимость</w:t>
            </w:r>
          </w:p>
        </w:tc>
        <w:tc>
          <w:tcPr>
            <w:tcW w:type="dxa" w:w="362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Выход</w:t>
            </w:r>
          </w:p>
        </w:tc>
        <w:tc>
          <w:tcPr>
            <w:tcW w:type="dxa" w:w="3742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Приёмка / владелец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1. Правила и данные; начало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2. Пилот С01; после этапа 1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3. Приёмка; после проверок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</w:tbl>
    <w:p>
      <w:pPr>
        <w:spacing w:after="20"/>
      </w:pPr>
    </w:p>
    <w:p>
      <w:pPr>
        <w:pStyle w:val="Heading2"/>
      </w:pPr>
      <w:r>
        <w:t>Расчёт выбранного варианта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AC9CC"/>
          <w:left w:val="single" w:sz="4" w:color="BAC9CC"/>
          <w:bottom w:val="single" w:sz="4" w:color="BAC9CC"/>
          <w:right w:val="single" w:sz="4" w:color="BAC9CC"/>
          <w:insideH w:val="single" w:sz="4" w:color="BAC9CC"/>
          <w:insideV w:val="single" w:sz="4" w:color="BAC9CC"/>
        </w:tblBorders>
      </w:tblPr>
      <w:tblGrid>
        <w:gridCol w:w="2268"/>
        <w:gridCol w:w="3628"/>
        <w:gridCol w:w="3742"/>
      </w:tblGrid>
      <w:tr>
        <w:trPr>
          <w:tblHeader/>
          <w:cantSplit/>
        </w:trPr>
        <w:tc>
          <w:tcPr>
            <w:tcW w:type="dxa" w:w="226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Показатель</w:t>
            </w:r>
          </w:p>
        </w:tc>
        <w:tc>
          <w:tcPr>
            <w:tcW w:type="dxa" w:w="362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Формула</w:t>
            </w:r>
          </w:p>
        </w:tc>
        <w:tc>
          <w:tcPr>
            <w:tcW w:type="dxa" w:w="3742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Часы в месяц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Эквивалент ресурса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После поддержки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Первый год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При времени 40 минут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</w:tbl>
    <w:p>
      <w:pPr>
        <w:spacing w:after="20"/>
      </w:pPr>
    </w:p>
    <w:p>
      <w:pPr>
        <w:pStyle w:val="Heading2"/>
      </w:pPr>
      <w:r>
        <w:t>Моя схема и правила чтения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[Вставьте схему. Подпишите значения стрелок, границу и состояние AS-IS / предложение TO-BE.]</w:t>
      </w:r>
    </w:p>
    <w:p>
      <w:pPr>
        <w:pStyle w:val="Heading2"/>
      </w:pPr>
      <w:r>
        <w:t>Диагноз и междоменные последствия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Критерий: ______. Наблюдение и источник: ______. Механизм/причина: ______. Последствие: ______. Предложение: ______. Проверка: ______.</w:t>
      </w:r>
    </w:p>
    <w:p>
      <w:pPr>
        <w:pStyle w:val="Heading2"/>
      </w:pPr>
      <w:r>
        <w:t>Ответ на новое условие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Никого не увольняют, зарплаты не сокращаются, освободившееся время идёт на другую работу. Можно ли обещать денежную окупаемость на основе 13 200 руб./месяц?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[Назовите конкретное изменение и его последствия.]</w:t>
      </w:r>
    </w:p>
    <w:p>
      <w:pPr>
        <w:pStyle w:val="Heading2"/>
      </w:pPr>
      <w:r>
        <w:t>Что я лично проверил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[Один конкретный элемент и основание; при использовании ИИ — что принято/исправлено и почему. Либо «ИИ не использовался».]</w:t>
      </w:r>
    </w:p>
    <w:p>
      <w:pPr>
        <w:pStyle w:val="Heading2"/>
      </w:pPr>
      <w:r>
        <w:t>Источники и неизвестное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[Укажите К-разделы, собственные разрешённые источники и ограничения. Не добавляйте несуществующие интервью.]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Times New Roman" w:cs="Times New Roman"/>
        <w:b w:val="0"/>
        <w:color w:val="55646A"/>
        <w:sz w:val="18"/>
      </w:rPr>
      <w:t xml:space="preserve">EA · практикум v1 · 2026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Times New Roman" w:cs="Times New Roman"/>
        <w:b w:val="0"/>
        <w:color w:val="55646A"/>
        <w:sz w:val="18"/>
      </w:rPr>
      <w:t>АРХИТЕКТУРА ПРЕДПРИЯТИЙ И ИС  /  ПРАКТИКУМ 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Times New Roman" w:hAnsi="Times New Roman"/>
      <w:color w:val="183F4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20"/>
    </w:pPr>
    <w:rPr>
      <w:rFonts w:asciiTheme="majorHAnsi" w:eastAsiaTheme="majorEastAsia" w:hAnsiTheme="majorHAnsi" w:cstheme="majorBidi" w:ascii="Times New Roman" w:hAnsi="Times New Roman"/>
      <w:i/>
      <w:iCs/>
      <w:color w:val="183F4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20" w:line="259" w:lineRule="auto"/>
    </w:pPr>
    <w:rPr>
      <w:rFonts w:ascii="Times New Roman" w:hAnsi="Times New Roman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259" w:lineRule="auto" w:after="120"/>
      <w:contextualSpacing/>
    </w:pPr>
    <w:rPr>
      <w:rFonts w:ascii="Times New Roman" w:hAnsi="Times New Roman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line="259" w:lineRule="auto" w:after="120"/>
      <w:contextualSpacing/>
    </w:pPr>
    <w:rPr>
      <w:rFonts w:ascii="Times New Roman" w:hAnsi="Times New Roman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after="120"/>
    </w:pPr>
    <w:rPr>
      <w:rFonts w:ascii="Times New Roman" w:hAnsi="Times New Roman"/>
      <w:b/>
      <w:bCs/>
      <w:color w:val="4F81BD" w:themeColor="accent1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ПЗ-13. Бланк ответа</dc:title>
  <dc:subject>14 практических занятий · Лекции EA v6 · Учебная разработка</dc:subject>
  <dc:creator>Курс «Архитектура предприятий и информационных систем»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