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28"/>
        </w:rPr>
        <w:t>Ресурсная эффективность локальных языковых моделей в аграрных задачах: сравнение конфигураций 9B и 27B и использование расчётных инструментов</w:t>
      </w:r>
    </w:p>
    <w:p>
      <w:pPr>
        <w:ind w:firstLine="0"/>
        <w:jc w:val="both"/>
      </w:pPr>
      <w:r>
        <w:rPr>
          <w:sz w:val="28"/>
        </w:rPr>
        <w:t>Антоний Сарычев, Денис Шестернин</w:t>
      </w:r>
    </w:p>
    <w:p>
      <w:pPr>
        <w:ind w:firstLine="0"/>
        <w:jc w:val="both"/>
      </w:pPr>
      <w:r>
        <w:rPr>
          <w:sz w:val="28"/>
        </w:rPr>
        <w:t>РГАУ-МСХА имени К.А. Тимирязева, Москва, Россия</w:t>
      </w:r>
    </w:p>
    <w:p>
      <w:pPr>
        <w:ind w:firstLine="0"/>
        <w:jc w:val="both"/>
      </w:pPr>
      <w:r>
        <w:rPr>
          <w:sz w:val="28"/>
        </w:rPr>
        <w:t>Рабочий черновик от 4 октября 2026 года. RU/EN описывают одно исследование; окончательное согласие авторов и лицензия ожидаются.</w:t>
      </w:r>
    </w:p>
    <w:p>
      <w:pPr>
        <w:jc w:val="both"/>
      </w:pPr>
      <w:r>
        <w:rPr>
          <w:sz w:val="28"/>
        </w:rPr>
        <w:t>УДК 004.8 — рабочий индекс, требует подтверждения выбранной площадкой.</w:t>
      </w:r>
    </w:p>
    <w:p>
      <w:pPr>
        <w:pStyle w:val="Heading1"/>
      </w:pPr>
      <w:r>
        <w:t>Аннотация</w:t>
      </w:r>
    </w:p>
    <w:p>
      <w:pPr>
        <w:jc w:val="both"/>
      </w:pPr>
      <w:r>
        <w:rPr>
          <w:sz w:val="28"/>
        </w:rPr>
        <w:t>Сопоставлены качество, задержка и память локальных конфигураций Qwen 9B и 27B на аграрном DEV-наборе. Проверена совместимость исторических ответов и телеметрии. Расчётные задачи рассматриваются отдельно от знаний; декларация инструмента отделена от его исполнения.</w:t>
      </w:r>
    </w:p>
    <w:p>
      <w:pPr>
        <w:jc w:val="both"/>
      </w:pPr>
      <w:r>
        <w:rPr>
          <w:sz w:val="28"/>
        </w:rPr>
        <w:t>Ключевые слова: языковые модели; аграрные задачи; локальный вывод; ресурсы; детерминированные расчёты; воспроизводимость.</w:t>
      </w:r>
    </w:p>
    <w:p>
      <w:pPr>
        <w:pStyle w:val="Heading1"/>
      </w:pPr>
      <w:r>
        <w:t>1. Проблема и цель исследования</w:t>
      </w:r>
    </w:p>
    <w:p>
      <w:pPr>
        <w:jc w:val="both"/>
      </w:pPr>
      <w:r>
        <w:rPr>
          <w:sz w:val="28"/>
        </w:rPr>
        <w:t>Локальному аграрному ассистенту могут поступать вопросы на предметные знания и задачи с явно заданной формулой. Связный ответ не гарантирует верного расчёта, а название правильного инструмента ещё не означает его вызов. При ограниченной памяти домашнего компьютера выбор модели должен учитывать качество всей конфигурации, задержку, занятую память и наблюдавшиеся отказы.</w:t>
      </w:r>
    </w:p>
    <w:p>
      <w:pPr>
        <w:jc w:val="both"/>
      </w:pPr>
      <w:r>
        <w:rPr>
          <w:sz w:val="28"/>
        </w:rPr>
        <w:t>Цель работы — описать практический компромисс между Qwen3.5-9B и Qwen3.8-27B и проверить роль реального исполнения расчётного кода. Основные вопросы: какое качество и ресурсы наблюдаются у этих конфигураций; как отличается самостоятельный расчёт от передачи аргументов инструменту. Облачное делегирование остаётся дополнительным вопросом. Сравнение меняет поколение модели, размер, квантование и размещение в памяти; причинный эффект числа параметров отдельно не выделяется.</w:t>
      </w:r>
    </w:p>
    <w:p>
      <w:pPr>
        <w:jc w:val="both"/>
      </w:pPr>
      <w:r>
        <w:rPr>
          <w:sz w:val="28"/>
        </w:rPr>
        <w:t>Основной материал — публичный DEV MERA ruTXTAgroBench. Отдельный TELEMETRY40 связывает сохранённые ответы с измерениями ресурсов, а Study C проверяет заданные формулы, единицы и недостающие входы. Исторический HOME150 служит дополнительным контекстом. Точности этих блоков не объединяются. Независимый скрытый TEST в этой сессии не запускался. 9B — фокусная практическая конфигурация, 27B — reference с более высоким наблюдаемым качеством.</w:t>
      </w:r>
    </w:p>
    <w:p>
      <w:pPr>
        <w:pStyle w:val="Heading1"/>
      </w:pPr>
      <w:r>
        <w:t>2. Связанные исследования</w:t>
      </w:r>
    </w:p>
    <w:p>
      <w:pPr>
        <w:jc w:val="both"/>
      </w:pPr>
      <w:r>
        <w:rPr>
          <w:sz w:val="28"/>
        </w:rPr>
        <w:t>FrugalGPT, AutoMix, Hybrid LLM, RouteLLM и единая теория маршрутизации рассматривают выбор модели и эскалацию [1–5]. RouterBench показывает значение различия между анализом сохранённых ответов и работающим маршрутизатором [6]. Их опубликованные преимущества не переносятся автоматически на нашу машину и набор. Работы об оценке неопределённости и отказе от ответа требуют отдельного критерия надёжности [7,8]; валидный JSON или самооценка уверенности таким критерием не являются.</w:t>
      </w:r>
    </w:p>
    <w:p>
      <w:pPr>
        <w:jc w:val="both"/>
      </w:pPr>
      <w:r>
        <w:rPr>
          <w:sz w:val="28"/>
        </w:rPr>
        <w:t>PLLaMa, AgriGPT и AgroLLM исследуют аграрную адаптацию и передачу знаний [9–11]. AgriAgent и AgroTools уже рассматривают планирование и инструменты в сельском хозяйстве [12,13]. Поэтому вклад настоящей работы ограничен практическим сравнением локальных ресурсов и учётом завершённого расчёта. tau-bench оценивает достигнутый результат взаимодействия, ToolACE — данные и проверку вызовов функций [14,15].</w:t>
      </w:r>
    </w:p>
    <w:p>
      <w:pPr>
        <w:jc w:val="both"/>
      </w:pPr>
      <w:r>
        <w:rPr>
          <w:sz w:val="28"/>
        </w:rPr>
        <w:t>BitNet и технический отчёт Gemma показывают разные подходы к эффективности и архитектурам [16,17], но не дают результатов для наших GGUF. AgXQA относится к другому виду аграрных вопросов, использованному в историческом HOME [18]. Для вычислений отдельно применяются фундаментальные формулы FAO-56 [19]. Карты моделей, API и программные репозитории учитываются как технические источники и не увеличивают число научных публикаций.</w:t>
      </w:r>
    </w:p>
    <w:p>
      <w:pPr>
        <w:pStyle w:val="Heading1"/>
      </w:pPr>
      <w:r>
        <w:t>3. Данные и методика</w:t>
      </w:r>
    </w:p>
    <w:p>
      <w:pPr>
        <w:jc w:val="both"/>
      </w:pPr>
      <w:r>
        <w:rPr>
          <w:sz w:val="28"/>
        </w:rPr>
        <w:t>ruTXTAgroBench содержит 2 935 русских вопросов по десяти аграрным дисциплинам, включая 293 публичных DEV. Авторы набора сообщают о составлении агрономами, редактировании и проверке тремя экспертами. Это описание создателей, а не наш независимый аудит каждого эталона или доказательство пригодности совета для хозяйства. Вопросы, ключи и полные журналы хранятся локально с ограничениями распространения.</w:t>
      </w:r>
    </w:p>
    <w:p>
      <w:pPr>
        <w:jc w:val="both"/>
      </w:pPr>
      <w:r>
        <w:rPr>
          <w:sz w:val="28"/>
        </w:rPr>
        <w:t>Начальный сбалансированный DEV60 входит в DEV293 и использован при выборе моделей. TELEMETRY40 берёт по четыре позиции в каждой дисциплине из того же DEV без отбора по правильности; независимой проверкой он не является. С первоначальным DEV60 пересекаются 20 его заданий. Study C содержит 27 сконструированных русских заданий с повторяющимися семействами формул. HOME150 — отдельный исторический контролируемый опыт с синтетическими и двуязычными случаями.</w:t>
      </w:r>
    </w:p>
    <w:p>
      <w:pPr>
        <w:jc w:val="both"/>
      </w:pPr>
      <w:r>
        <w:rPr>
          <w:sz w:val="28"/>
        </w:rPr>
        <w:t>Строгая EM проверяет равенство множеств латинских обозначений выбранных вариантов. F1 — средняя по заданиям гармоническая мера точности и полноты множества. Четыре исходных эталона смешивают кириллицу и латиницу и не разбираются по заявленному правилу. Их не транслитерировали и не исправляли: основной знаменатель равен 289, все 293 попытки сохранены. Консервативный расчёт с нулём для этих четырёх строк приведён отдельно.</w:t>
      </w:r>
    </w:p>
    <w:p>
      <w:pPr>
        <w:jc w:val="both"/>
      </w:pPr>
      <w:r>
        <w:rPr>
          <w:sz w:val="28"/>
        </w:rPr>
        <w:t>Опубликованный scorer MERA использует SQuAD-нормализацию, которая, в частности, может удалить латинскую A как английский артикль. Его диагностика и наши строгие EM/F1 различаются. Серверная реализация не подтверждена; официального результата MERA мы не заявляем. Интервалы на повторно использованном DEV описательные; допустимая граница потери качества 9B не задана.</w:t>
      </w:r>
    </w:p>
    <w:p>
      <w:pPr>
        <w:jc w:val="both"/>
      </w:pPr>
      <w:r>
        <w:rPr>
          <w:sz w:val="28"/>
        </w:rPr>
        <w:t>Измерения относятся к Ryzen 7 8700F, RTX 5060 Ti с 16 311 MiB VRAM и 31,620 GiB RAM. Зафиксированы Windows 11 Pro, драйвер NVIDIA 617.14, LM Studio 0.4.25+1 и выбранный llama.cpp CUDA12 runtime 2.51.0. Точная сборка движка для каждой модели не раскрыта. Основные GGUF имеют 8,873 GiB для Qwen9 Q8_0 и 15,334 GiB для Qwen27 UD-Q4_K_M; их идентичность определяется квитанциями SHA-256.</w:t>
      </w:r>
    </w:p>
    <w:p>
      <w:pPr>
        <w:jc w:val="both"/>
      </w:pPr>
      <w:r>
        <w:rPr>
          <w:sz w:val="28"/>
        </w:rPr>
        <w:t>Исторический DEV использовал OpenAI-совместимый транспорт, строгую JSON schema, seed 42, контекст 2 048, temperature 0, top_p 1, максимум 512 токенов и отключённые рассуждения. Запрошенный offload — max и 0,75, checkpoints — 32; фактические GPU layers неизвестны. Native TELEMETRY40 сохраняет тексты и основные ограничения декодирования, но не задаёт раскрытый seed или серверную schema. Checkpoints равны нулю, размещение GPU автоматическое, MTP выключен. Последовательность блоков ABBA, отдельный синтетический прогрев и выгрузки раскрыты. Загрузку и прогрев не включают в задержку запроса.</w:t>
      </w:r>
    </w:p>
    <w:p>
      <w:pPr>
        <w:jc w:val="both"/>
      </w:pPr>
      <w:r>
        <w:rPr>
          <w:sz w:val="28"/>
        </w:rPr>
        <w:t>Память измеряется как sampled whole-GPU, whole-system RAM и RSS группы процессов LM Studio. Фоновые приложения и shared pages входят в эти области; выделенная память модели не установлена. Задержка — клиентский HTTP round trip; клиентская и серверная TTFT различаются. Скорость короткого ответа буквами не характеризует произвольную длинную генерацию. Энергия не измерялась.</w:t>
      </w:r>
    </w:p>
    <w:p>
      <w:pPr>
        <w:pStyle w:val="Heading1"/>
      </w:pPr>
      <w:r>
        <w:t>4. Качество и ресурсы</w:t>
      </w:r>
    </w:p>
    <w:p>
      <w:pPr>
        <w:keepNext/>
        <w:spacing w:before="100"/>
        <w:ind w:firstLine="0"/>
        <w:jc w:val="both"/>
      </w:pPr>
      <w:r>
        <w:rPr>
          <w:sz w:val="24"/>
        </w:rPr>
        <w:t>Таблица 1. Исторический DEV293 в OpenAI-совместимом профиле. Выполнены все 293 запроса каждой модели, доступны 289 разбираемых эталонов.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09"/>
        <w:gridCol w:w="2409"/>
        <w:gridCol w:w="2409"/>
        <w:gridCol w:w="2409"/>
      </w:tblGrid>
      <w:tr>
        <w:trPr>
          <w:tblHeader/>
          <w:cantSplit/>
        </w:trPr>
        <w:tc>
          <w:tcPr>
            <w:tcW w:type="dxa" w:w="3402"/>
            <w:vAlign w:val="center"/>
            <w:shd w:fill="EDEDED"/>
          </w:tcPr>
          <w:p>
            <w:pPr>
              <w:keepNext/>
              <w:spacing w:before="40" w:after="40"/>
              <w:ind w:firstLine="0"/>
              <w:jc w:val="left"/>
            </w:pPr>
            <w:r>
              <w:rPr>
                <w:b/>
                <w:sz w:val="24"/>
              </w:rPr>
              <w:t>Конфигурация</w:t>
            </w:r>
          </w:p>
        </w:tc>
        <w:tc>
          <w:tcPr>
            <w:tcW w:type="dxa" w:w="2551"/>
            <w:vAlign w:val="center"/>
            <w:shd w:fill="EDEDED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/>
                <w:sz w:val="24"/>
              </w:rPr>
              <w:t>Строгая EM</w:t>
            </w:r>
          </w:p>
        </w:tc>
        <w:tc>
          <w:tcPr>
            <w:tcW w:type="dxa" w:w="1247"/>
            <w:vAlign w:val="center"/>
            <w:shd w:fill="EDEDED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/>
                <w:sz w:val="24"/>
              </w:rPr>
              <w:t>Set F1</w:t>
            </w:r>
          </w:p>
        </w:tc>
        <w:tc>
          <w:tcPr>
            <w:tcW w:type="dxa" w:w="2438"/>
            <w:vAlign w:val="center"/>
            <w:shd w:fill="EDEDED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/>
                <w:sz w:val="24"/>
              </w:rPr>
              <w:t>p50 / p95, с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  <w:spacing w:before="40" w:after="40"/>
              <w:ind w:firstLine="0"/>
              <w:jc w:val="left"/>
            </w:pPr>
            <w:r>
              <w:rPr>
                <w:b w:val="0"/>
                <w:sz w:val="24"/>
              </w:rPr>
              <w:t>Qwen3.5-9B Q8_0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4"/>
              </w:rPr>
              <w:t>141/289; 48,79%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4"/>
              </w:rPr>
              <w:t>0,6286</w:t>
            </w:r>
          </w:p>
        </w:tc>
        <w:tc>
          <w:tcPr>
            <w:tcW w:type="dxa" w:w="2438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4"/>
              </w:rPr>
              <w:t>0,295 / 0,402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 w:val="0"/>
              <w:spacing w:before="40" w:after="40"/>
              <w:ind w:firstLine="0"/>
              <w:jc w:val="left"/>
            </w:pPr>
            <w:r>
              <w:rPr>
                <w:b w:val="0"/>
                <w:sz w:val="24"/>
              </w:rPr>
              <w:t>Qwen3.8-27B UD-Q4_K_M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b w:val="0"/>
                <w:sz w:val="24"/>
              </w:rPr>
              <w:t>150/289; 51,90%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b w:val="0"/>
                <w:sz w:val="24"/>
              </w:rPr>
              <w:t>0,6468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b w:val="0"/>
                <w:sz w:val="24"/>
              </w:rPr>
              <w:t>1,374 / 1,753</w:t>
            </w:r>
          </w:p>
        </w:tc>
      </w:tr>
    </w:tbl>
    <w:p>
      <w:pPr>
        <w:jc w:val="both"/>
      </w:pPr>
      <w:r>
        <w:rPr>
          <w:sz w:val="28"/>
        </w:rPr>
        <w:t>Разность Qwen9−Qwen27 составляет −3,11 п.п. Парные исходы: обе верны 113, только 9B — 28, только 27B — 37, обе неверны 111. Сохранённый bootstrap по дисциплинам, 10 000 повторов, даёт описательный 95%-й интервал разности EM [−8,30; +2,42] п.п. и F1 [−0,06148; +0,02552]. Отношение 141/150 = 94% — относительное отношение EM; точность Qwen9 равна 48,79%, эквивалентность не доказана. Консервативная чувствительность равна 141/293 = 48,12% и 150/293 = 51,19%; истинные ответы четырёх спорных строк она не устанавливает.</w:t>
      </w:r>
    </w:p>
    <w:p>
      <w:pPr>
        <w:keepNext/>
        <w:spacing w:before="100"/>
        <w:ind w:firstLine="0"/>
        <w:jc w:val="both"/>
      </w:pPr>
      <w:r>
        <w:rPr>
          <w:sz w:val="24"/>
        </w:rPr>
        <w:t>Таблица 2. Native TELEMETRY40: качество сохранённых ответов оценено ретроспективно на 39 эталонах; задержка и ресурсы относятся к 40 завершённым запросам каждой модели.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4535"/>
            <w:vAlign w:val="center"/>
            <w:shd w:fill="EDEDED"/>
          </w:tcPr>
          <w:p>
            <w:pPr>
              <w:keepNext/>
              <w:spacing w:before="40" w:after="40"/>
              <w:ind w:firstLine="0"/>
              <w:jc w:val="left"/>
            </w:pPr>
            <w:r>
              <w:rPr>
                <w:b/>
                <w:sz w:val="24"/>
              </w:rPr>
              <w:t>Измерение</w:t>
            </w:r>
          </w:p>
        </w:tc>
        <w:tc>
          <w:tcPr>
            <w:tcW w:type="dxa" w:w="2551"/>
            <w:vAlign w:val="center"/>
            <w:shd w:fill="EDEDED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/>
                <w:sz w:val="24"/>
              </w:rPr>
              <w:t>Qwen9</w:t>
            </w:r>
          </w:p>
        </w:tc>
        <w:tc>
          <w:tcPr>
            <w:tcW w:type="dxa" w:w="2551"/>
            <w:vAlign w:val="center"/>
            <w:shd w:fill="EDEDED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/>
                <w:sz w:val="24"/>
              </w:rPr>
              <w:t>Qwen27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keepNext/>
              <w:spacing w:before="40" w:after="40"/>
              <w:ind w:firstLine="0"/>
              <w:jc w:val="left"/>
            </w:pPr>
            <w:r>
              <w:rPr>
                <w:b w:val="0"/>
                <w:sz w:val="24"/>
              </w:rPr>
              <w:t>Строгая EM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4"/>
              </w:rPr>
              <w:t>22/39; 56,41%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4"/>
              </w:rPr>
              <w:t>24/39; 61,54%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keepNext/>
              <w:spacing w:before="40" w:after="40"/>
              <w:ind w:firstLine="0"/>
              <w:jc w:val="left"/>
            </w:pPr>
            <w:r>
              <w:rPr>
                <w:b w:val="0"/>
                <w:sz w:val="24"/>
              </w:rPr>
              <w:t>Set F1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4"/>
              </w:rPr>
              <w:t>0,7197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4"/>
              </w:rPr>
              <w:t>0,7801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keepNext/>
              <w:spacing w:before="40" w:after="40"/>
              <w:ind w:firstLine="0"/>
              <w:jc w:val="left"/>
            </w:pPr>
            <w:r>
              <w:rPr>
                <w:b w:val="0"/>
                <w:sz w:val="24"/>
              </w:rPr>
              <w:t>p50 / p95, с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4"/>
              </w:rPr>
              <w:t>0,269 / 0,344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4"/>
              </w:rPr>
              <w:t>1,434 / 1,829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keepNext/>
              <w:spacing w:before="40" w:after="40"/>
              <w:ind w:firstLine="0"/>
              <w:jc w:val="left"/>
            </w:pPr>
            <w:r>
              <w:rPr>
                <w:b w:val="0"/>
                <w:sz w:val="24"/>
              </w:rPr>
              <w:t>Client TTFT p50, с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4"/>
              </w:rPr>
              <w:t>0,122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4"/>
              </w:rPr>
              <w:t>0,691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keepNext/>
              <w:spacing w:before="40" w:after="40"/>
              <w:ind w:firstLine="0"/>
              <w:jc w:val="left"/>
            </w:pPr>
            <w:r>
              <w:rPr>
                <w:b w:val="0"/>
                <w:sz w:val="24"/>
              </w:rPr>
              <w:t>GPU request peak, MiB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4"/>
              </w:rPr>
              <w:t>11 471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4"/>
              </w:rPr>
              <w:t>13 287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keepNext/>
              <w:spacing w:before="40" w:after="40"/>
              <w:ind w:firstLine="0"/>
              <w:jc w:val="left"/>
            </w:pPr>
            <w:r>
              <w:rPr>
                <w:b w:val="0"/>
                <w:sz w:val="24"/>
              </w:rPr>
              <w:t>RAM request peak, GiB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4"/>
              </w:rPr>
              <w:t>20,858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4"/>
              </w:rPr>
              <w:t>28,470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keepNext/>
              <w:spacing w:before="40" w:after="40"/>
              <w:ind w:firstLine="0"/>
              <w:jc w:val="left"/>
            </w:pPr>
            <w:r>
              <w:rPr>
                <w:b w:val="0"/>
                <w:sz w:val="24"/>
              </w:rPr>
              <w:t>RSS request peak, MiB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4"/>
              </w:rPr>
              <w:t>11 198,96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4"/>
              </w:rPr>
              <w:t>18 742,34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keepNext w:val="0"/>
              <w:spacing w:before="40" w:after="40"/>
              <w:ind w:firstLine="0"/>
              <w:jc w:val="left"/>
            </w:pPr>
            <w:r>
              <w:rPr>
                <w:b w:val="0"/>
                <w:sz w:val="24"/>
              </w:rPr>
              <w:t>Завершено / нарушения JSON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b w:val="0"/>
                <w:sz w:val="24"/>
              </w:rPr>
              <w:t>40/40 / 2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b w:val="0"/>
                <w:sz w:val="24"/>
              </w:rPr>
              <w:t>40/40 / 0</w:t>
            </w:r>
          </w:p>
        </w:tc>
      </w:tr>
    </w:tbl>
    <w:p>
      <w:pPr>
        <w:jc w:val="both"/>
      </w:pPr>
      <w:r>
        <w:rPr>
          <w:sz w:val="28"/>
        </w:rPr>
        <w:t>В native-профиле медиана задержки Qwen9 меньше в 5,338 раза, а Qwen27 верно отвечает на два задания больше. Ни одна конфигурация не лучше по всем критериям. Это описательный компромисс без выбранного после наблюдения порога допустимой потери.</w:t>
      </w:r>
    </w:p>
    <w:p>
      <w:pPr>
        <w:jc w:val="both"/>
      </w:pPr>
      <w:r>
        <w:rPr>
          <w:sz w:val="28"/>
        </w:rPr>
        <w:t>Сверка 80 пар подтверждает одинаковые байты system/user и записи идентичности весов, но выбранные варианты меняются в 1/40 случае Qwen9 и 2/40 Qwen27. Исторические ответы на эти же задания дали обеим моделям 23/39, F1 0,7282 и 0,7374. Поэтому качество DEV293 и новую скорость нельзя выдавать за одновременные измерения при одинаковых настройках. Для TELEMETRY40 совместное описание допустимо с пометкой о ретроспективном scorer и повторном DEV.</w:t>
      </w:r>
    </w:p>
    <w:p>
      <w:pPr>
        <w:jc w:val="both"/>
      </w:pPr>
      <w:r>
        <w:rPr>
          <w:sz w:val="28"/>
        </w:rPr>
        <w:t>Первый native-профиль с 32 checkpoints привёл к остановкам Qwen27 по RAM guard. При checkpoints 0 TELEMETRY40 завершён; отказы и смена конфигурации сохранены. Операционный отказ не считается арифметической ошибкой. Одна успешная серия не устанавливает долговременную устойчивость.</w:t>
      </w:r>
    </w:p>
    <w:p>
      <w:pPr>
        <w:pStyle w:val="Heading1"/>
      </w:pPr>
      <w:r>
        <w:t>5. Расчёты и вызовы инструментов</w:t>
      </w:r>
    </w:p>
    <w:p>
      <w:pPr>
        <w:jc w:val="both"/>
      </w:pPr>
      <w:r>
        <w:rPr>
          <w:sz w:val="28"/>
        </w:rPr>
        <w:t>Во всех ветвях Study C явно доступны тип задачи, вопрос, входные числа и единицы. Проверяются простая суточная сумма тепла без верхнего ограничения, давление насыщения/VPD, суточная эталонная ET0 FAO-56 и заданная экспериментальная разность max(0, target − sum(rain)). GDD суммирует max(0, (Tmin + Tmax)/2 − base) по заданным дням. VPD по одному наблюдению равен давлению насыщения, умноженному на (1 − RH/100); суточная версия использует экстремумы температуры и влажности. Разность осадков не является готовой нормой полива. ET0 отличается от ETc и дозы орошения [19]. Недостающие измерения, ветер, G и пороги культуры не подставляются из скрытого эталона или типовых значений.</w:t>
      </w:r>
    </w:p>
    <w:p>
      <w:pPr>
        <w:jc w:val="both"/>
      </w:pPr>
      <w:r>
        <w:rPr>
          <w:sz w:val="28"/>
        </w:rPr>
        <w:t>Историческая полная правильность Qwen9/Qwen27 равна 7/27 и 15/27; число с единицами — 1/16 и 6/16; правильное название инструмента — 17/26 и 25/26. Неподдерживаемый случай исключён только из tool-знаменателя. Исполнитель совпал со спецификацией и независимо построенными формульными эталонами в 27/27. Replay выбранных названий дал 17/26 и 25/26, поскольку код получал исходные входы напрямую; передачи аргументов моделью такой опыт не проверял. Исторические ответы 9B и 27B получены при разных checkpoint-профилях, что ограничивает сравнение задержек.</w:t>
      </w:r>
    </w:p>
    <w:p>
      <w:pPr>
        <w:jc w:val="both"/>
      </w:pPr>
      <w:r>
        <w:rPr>
          <w:sz w:val="28"/>
        </w:rPr>
        <w:t>Новый заранее объявленный опыт завершил все 108 решений: 140 измеряемых модельных вызовов и два отдельных синтетических прогрева. Обе модели используют native-профиль checkpoints 0. Ветка без tools делает один вызов; инструментальная ветка выбирает разрешённую функцию и передаёт полные аргументы. Программа проверяет их равенство публичным входам и единицам, затем исполняет формулу и передаёт результат модели для итогового ответа. Из gold, скрытой категории или ожидаемого tool аргументы не дополняются. Это живое JSON-исполнение на уровне приложения с явно заданными типом и контрактами; native function-calling и обнаружение намерения из свободной речи не проверялись.</w:t>
      </w:r>
    </w:p>
    <w:p>
      <w:pPr>
        <w:keepNext/>
        <w:spacing w:before="100"/>
        <w:ind w:firstLine="0"/>
        <w:jc w:val="both"/>
      </w:pPr>
      <w:r>
        <w:rPr>
          <w:sz w:val="24"/>
        </w:rPr>
        <w:t>Таблица 3. Study C, 27 случаев в каждой ветви. Полная правильность сохраняет scorer значений/action/tool; контракт итогового JSON проверен отдельно. Задержка — сумма модельных HTTP-интервалов, без dispatch и журналирования.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/>
          <w:cantSplit/>
        </w:trPr>
        <w:tc>
          <w:tcPr>
            <w:tcW w:type="dxa" w:w="2835"/>
            <w:vAlign w:val="center"/>
            <w:shd w:fill="EDEDED"/>
          </w:tcPr>
          <w:p>
            <w:pPr>
              <w:keepNext/>
              <w:spacing w:before="40" w:after="40"/>
              <w:ind w:firstLine="0"/>
              <w:jc w:val="left"/>
            </w:pPr>
            <w:r>
              <w:rPr>
                <w:b/>
                <w:sz w:val="24"/>
              </w:rPr>
              <w:t>Конфигурация</w:t>
            </w:r>
          </w:p>
        </w:tc>
        <w:tc>
          <w:tcPr>
            <w:tcW w:type="dxa" w:w="1701"/>
            <w:vAlign w:val="center"/>
            <w:shd w:fill="EDEDED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/>
                <w:sz w:val="24"/>
              </w:rPr>
              <w:t>Верно</w:t>
            </w:r>
          </w:p>
        </w:tc>
        <w:tc>
          <w:tcPr>
            <w:tcW w:type="dxa" w:w="1701"/>
            <w:vAlign w:val="center"/>
            <w:shd w:fill="EDEDED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/>
                <w:sz w:val="24"/>
              </w:rPr>
              <w:t>Число + единица</w:t>
            </w:r>
          </w:p>
        </w:tc>
        <w:tc>
          <w:tcPr>
            <w:tcW w:type="dxa" w:w="1701"/>
            <w:vAlign w:val="center"/>
            <w:shd w:fill="EDEDED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/>
                <w:sz w:val="24"/>
              </w:rPr>
              <w:t>Исполнений</w:t>
            </w:r>
          </w:p>
        </w:tc>
        <w:tc>
          <w:tcPr>
            <w:tcW w:type="dxa" w:w="1701"/>
            <w:vAlign w:val="center"/>
            <w:shd w:fill="EDEDED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/>
                <w:sz w:val="24"/>
              </w:rPr>
              <w:t>p50 суммы, с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/>
              <w:spacing w:before="40" w:after="40"/>
              <w:ind w:firstLine="0"/>
              <w:jc w:val="left"/>
            </w:pPr>
            <w:r>
              <w:rPr>
                <w:b w:val="0"/>
                <w:sz w:val="24"/>
              </w:rPr>
              <w:t>Qwen9 без tools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4"/>
              </w:rPr>
              <w:t>7/27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4"/>
              </w:rPr>
              <w:t>1/16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4"/>
              </w:rPr>
              <w:t>1,469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/>
              <w:spacing w:before="40" w:after="40"/>
              <w:ind w:firstLine="0"/>
              <w:jc w:val="left"/>
            </w:pPr>
            <w:r>
              <w:rPr>
                <w:b w:val="0"/>
                <w:sz w:val="24"/>
              </w:rPr>
              <w:t>Qwen9 live tools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4"/>
              </w:rPr>
              <w:t>18/27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4"/>
              </w:rPr>
              <w:t>16/16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4"/>
              </w:rPr>
              <w:t>16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4"/>
              </w:rPr>
              <w:t>2,857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/>
              <w:spacing w:before="40" w:after="40"/>
              <w:ind w:firstLine="0"/>
              <w:jc w:val="left"/>
            </w:pPr>
            <w:r>
              <w:rPr>
                <w:b w:val="0"/>
                <w:sz w:val="24"/>
              </w:rPr>
              <w:t>Qwen27 без tools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4"/>
              </w:rPr>
              <w:t>15/27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4"/>
              </w:rPr>
              <w:t>6/16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4"/>
              </w:rPr>
              <w:t>8,989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 w:val="0"/>
              <w:spacing w:before="40" w:after="40"/>
              <w:ind w:firstLine="0"/>
              <w:jc w:val="left"/>
            </w:pPr>
            <w:r>
              <w:rPr>
                <w:b w:val="0"/>
                <w:sz w:val="24"/>
              </w:rPr>
              <w:t>Qwen27 live tools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b w:val="0"/>
                <w:sz w:val="24"/>
              </w:rPr>
              <w:t>25/27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b w:val="0"/>
                <w:sz w:val="24"/>
              </w:rPr>
              <w:t>16/16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b w:val="0"/>
                <w:sz w:val="24"/>
              </w:rPr>
              <w:t>16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b w:val="0"/>
                <w:sz w:val="24"/>
              </w:rPr>
              <w:t>21,879</w:t>
            </w:r>
          </w:p>
        </w:tc>
      </w:tr>
    </w:tbl>
    <w:p>
      <w:pPr>
        <w:jc w:val="both"/>
      </w:pPr>
      <w:r>
        <w:rPr>
          <w:sz w:val="28"/>
        </w:rPr>
        <w:t>Все 32 численных вызова прошли проверку аргументов и дали правильные итоговые значения с единицами. Среди 11 нечисленных случаев Qwen9 получил 6/11 без tools и 2/11 с tools; Qwen27 — 9/11 в обеих ветвях. Следовательно, улучшение арифметики не устанавливает надёжность уточнения данных и отказа: у Qwen9 четыре таких случая ухудшились. Ошибок транспорта и усечения по output budget не наблюдалось. Проверке полей и типов JSON соответствуют 24/27 и 26/27 ответов Qwen9, 27/27 в обеих ветвях Qwen27. С дополнительным требованием разрешённого tool ID Qwen9 получает 22/27 и 19/27, Qwen27 — 27/27 и 27/27; четыре нарушения типов уже неверны по исходному scorer, поэтому отдельная проверка баллы не меняет.</w:t>
      </w:r>
    </w:p>
    <w:p>
      <w:pPr>
        <w:jc w:val="both"/>
      </w:pPr>
      <w:r>
        <w:rPr>
          <w:sz w:val="28"/>
        </w:rPr>
        <w:t>Максимум 512 токенов задан для одного вызова; успешная численная tool-ветвь обычно делает два и получает вдвое больший суммарный бюджет. Обратная связь инструмента меняется вместе с числом вызовов. Указана сумма задержек запросов, а не полная задержка приложения. Это один matched development-опыт на прежнем материале. Пути/размеры весов сверены; полный SHA относится к прежней квитанции и во время inference повторно не рассчитывался.</w:t>
      </w:r>
    </w:p>
    <w:p>
      <w:pPr>
        <w:jc w:val="both"/>
      </w:pPr>
      <w:r>
        <w:rPr>
          <w:sz w:val="28"/>
        </w:rPr>
        <w:t>Сохранены исходные допуски каждого случая: 1e-8 у двенадцати высокоточных численных эталонов, 0,001/0,005/0,01 у четырёх опубликованных округлённых примеров. Отдельная диагностика использует max(исходный допуск, 1e-4) и не заменяет строгие баллы; в исторической серии она не увеличила 1/16 и 6/16. Допуск относится к формуле и инструкции, а не агрономической безопасности. Формульный исполнитель — технический эталон реализации, не независимое подтверждение правильности полевого решения.</w:t>
      </w:r>
    </w:p>
    <w:p>
      <w:pPr>
        <w:pStyle w:val="Heading1"/>
      </w:pPr>
      <w:r>
        <w:t>6. Дополнительные облачные наблюдения</w:t>
      </w:r>
    </w:p>
    <w:p>
      <w:pPr>
        <w:jc w:val="both"/>
      </w:pPr>
      <w:r>
        <w:rPr>
          <w:sz w:val="28"/>
        </w:rPr>
        <w:t>Mercury2.5 instant/512 на MERA DEV60 дал 31/59 строгих совпадений, включая четыре неуспешные или усечённые попытки. Replay эскалации от Qwen9 с 37/59 не улучшил EM: лучший ненулевой сохранённый порог дал 35/59. Доли обращений симулированы; живые задержка каскада и экономия денег здесь не измерены. Mercury — облачная reference-служба, её лидерство среди облачных моделей не установлено.</w:t>
      </w:r>
    </w:p>
    <w:p>
      <w:pPr>
        <w:jc w:val="both"/>
      </w:pPr>
      <w:r>
        <w:rPr>
          <w:sz w:val="28"/>
        </w:rPr>
        <w:t>OpenRouter HOME DEV9 содержит по девять завершённых ответов hosted Qwen3.8-27B, Ling3.0-Flash-Sante и Dots3-Note-Preview: 5/9, 4/9 и 4/9 по HOME scorer. Codex CLI на MERA DEV60 дал 36/59 при medium reasoning и 46 нарушениях представления JSON. Claude Code в прежних auth-probes не дал benchmark-ответов. Это сравнения продуктов/стендов; подписка имеет стоимость, а latency включает startup. Hosted имя не означает одинаковые локальные веса.</w:t>
      </w:r>
    </w:p>
    <w:p>
      <w:pPr>
        <w:jc w:val="both"/>
      </w:pPr>
      <w:r>
        <w:rPr>
          <w:sz w:val="28"/>
        </w:rPr>
        <w:t>В историческом HOME150 tools+cloud получил 139/150, локальный каскад — 133/150 при 20 вместо 100 cloud calls и не выполнил свой критерий качества. В отдельном Jev DEV правила дали 31/36, Jev — 30/36; все внешние запросы выросли с 23 до 56. Эти серии объясняют важность учёта инструментов и запросов, но не доказывают пользу облачной маршрутизации в основной MERA-работе. Полное покрытие моделей приведено в приложении репозитория, необязательные checkpoints не задерживают статью.</w:t>
      </w:r>
    </w:p>
    <w:p>
      <w:pPr>
        <w:pStyle w:val="Heading1"/>
      </w:pPr>
      <w:r>
        <w:t>7. Ограничения и выводы</w:t>
      </w:r>
    </w:p>
    <w:p>
      <w:pPr>
        <w:jc w:val="both"/>
      </w:pPr>
      <w:r>
        <w:rPr>
          <w:sz w:val="28"/>
        </w:rPr>
        <w:t>DEV повторно использован при настройке и выборе; TELEMETRY40 и сконструированный Study C не являются независимым внешним TEST. Одна машина, разные квантования и поколения, transport/offload, отключённые рассуждения и короткий бюджет ограничивают обобщение. Сохранены нарушения формата, RAM-censored попытки и смены профиля. Строгий scorer воспроизводим локально, production scorer MERA остаётся неизвестным. Экспертное происхождение набора не гарантирует безошибочность ключей и безопасность рекомендаций.</w:t>
      </w:r>
    </w:p>
    <w:p>
      <w:pPr>
        <w:jc w:val="both"/>
      </w:pPr>
      <w:r>
        <w:rPr>
          <w:sz w:val="28"/>
        </w:rPr>
        <w:t>Qwen9 занимает меньше измеренных ресурсов и быстрее отвечает в рассмотренном профиле; Qwen27 имеет более высокое наблюдаемое качество. Это основание для выбора по явно заданному практическому бюджету, без универсального победителя и доказанной эквивалентности. Инструментальная ветвь должна проверяться по аргументам, исполнению и итоговому ответу. Живое исполнение улучшило численные ответы обеих моделей, сохранив ошибки выбора/уточнения у Qwen9 и дополнительный вызов для финализации. Подготовка RU/EN может продолжаться без ответа MERA; отправка требует согласия авторов, метаданных и решения о правах выбранной площадки. Позднейшие открытые модели можно исследовать при том же бюджете, без обещаний будущих названий, дат и качества.</w:t>
      </w:r>
    </w:p>
    <w:p>
      <w:pPr>
        <w:jc w:val="both"/>
      </w:pPr>
      <w:r>
        <w:rPr>
          <w:sz w:val="28"/>
        </w:rPr>
        <w:t>Протоколы, версии scorer, хэши весов/промптов и записи попыток сохранены. Ограниченные материалы MERA не включаются в редакторский пакет. Обучаемый router не тренировался; новых платных API-вызовов, TEST, отправок и внешних писем не было. Codex существенно участвовал в проверке источников, программировании, исполнении, анализе и подготовке текста. Проверка AI не названа человеческой. Авторы — Антоний Сарычев и Денис Шестернин; окончательные вклады и согласие требуют их подтверждения. Преподаватель и AI автоматически в авторы не включены. Apache-2.0 относится к software; лицензия рукописи и права данных решаются отдельно.</w:t>
      </w:r>
    </w:p>
    <w:p>
      <w:pPr>
        <w:pStyle w:val="Heading1"/>
      </w:pPr>
      <w:r>
        <w:t>Литература</w:t>
      </w:r>
    </w:p>
    <w:p>
      <w:pPr>
        <w:spacing w:after="60"/>
        <w:ind w:hanging="397" w:left="397"/>
        <w:jc w:val="both"/>
      </w:pPr>
      <w:r>
        <w:rPr>
          <w:sz w:val="24"/>
        </w:rPr>
        <w:t xml:space="preserve">1. Chen, L.; Zaharia, M.; Zou, J. </w:t>
      </w:r>
      <w:r>
        <w:rPr>
          <w:i/>
          <w:sz w:val="24"/>
        </w:rPr>
        <w:t>FrugalGPT: How to Use Large Language Models While Reducing Cost and Improving Performance</w:t>
      </w:r>
      <w:r>
        <w:rPr>
          <w:sz w:val="24"/>
        </w:rPr>
        <w:t xml:space="preserve">. arXiv preprint, 2023. </w:t>
      </w:r>
      <w:hyperlink r:id="rId10">
        <w:r>
          <w:rPr>
            <w:sz w:val="24"/>
          </w:rPr>
          <w:t>Primary source</w:t>
        </w:r>
      </w:hyperlink>
      <w:r>
        <w:rPr>
          <w:sz w:val="24"/>
        </w:rPr>
        <w:t>.</w:t>
      </w:r>
    </w:p>
    <w:p>
      <w:pPr>
        <w:spacing w:after="60"/>
        <w:ind w:hanging="397" w:left="397"/>
        <w:jc w:val="both"/>
      </w:pPr>
      <w:r>
        <w:rPr>
          <w:sz w:val="24"/>
        </w:rPr>
        <w:t xml:space="preserve">2. Aggarwal, P.; Madaan, A.; Anand, A.; et al. </w:t>
      </w:r>
      <w:r>
        <w:rPr>
          <w:i/>
          <w:sz w:val="24"/>
        </w:rPr>
        <w:t>AutoMix: Automatically Mixing Language Models</w:t>
      </w:r>
      <w:r>
        <w:rPr>
          <w:sz w:val="24"/>
        </w:rPr>
        <w:t xml:space="preserve">. arXiv preprint, 2023. </w:t>
      </w:r>
      <w:hyperlink r:id="rId11">
        <w:r>
          <w:rPr>
            <w:sz w:val="24"/>
          </w:rPr>
          <w:t>Primary source</w:t>
        </w:r>
      </w:hyperlink>
      <w:r>
        <w:rPr>
          <w:sz w:val="24"/>
        </w:rPr>
        <w:t>.</w:t>
      </w:r>
    </w:p>
    <w:p>
      <w:pPr>
        <w:spacing w:after="60"/>
        <w:ind w:hanging="397" w:left="397"/>
        <w:jc w:val="both"/>
      </w:pPr>
      <w:r>
        <w:rPr>
          <w:sz w:val="24"/>
        </w:rPr>
        <w:t xml:space="preserve">3. Ding, D.; Mallick, A.; Wang, C.; et al. </w:t>
      </w:r>
      <w:r>
        <w:rPr>
          <w:i/>
          <w:sz w:val="24"/>
        </w:rPr>
        <w:t>Hybrid LLM: Cost-Efficient and Quality-Aware Query Routing</w:t>
      </w:r>
      <w:r>
        <w:rPr>
          <w:sz w:val="24"/>
        </w:rPr>
        <w:t xml:space="preserve">. arXiv preprint, 2024. </w:t>
      </w:r>
      <w:hyperlink r:id="rId12">
        <w:r>
          <w:rPr>
            <w:sz w:val="24"/>
          </w:rPr>
          <w:t>Primary source</w:t>
        </w:r>
      </w:hyperlink>
      <w:r>
        <w:rPr>
          <w:sz w:val="24"/>
        </w:rPr>
        <w:t>.</w:t>
      </w:r>
    </w:p>
    <w:p>
      <w:pPr>
        <w:spacing w:after="60"/>
        <w:ind w:hanging="397" w:left="397"/>
        <w:jc w:val="both"/>
      </w:pPr>
      <w:r>
        <w:rPr>
          <w:sz w:val="24"/>
        </w:rPr>
        <w:t xml:space="preserve">4. Ong, I.; Almahairi, A.; Wu, V.; et al. </w:t>
      </w:r>
      <w:r>
        <w:rPr>
          <w:i/>
          <w:sz w:val="24"/>
        </w:rPr>
        <w:t>RouteLLM: Learning to Route LLMs from Preference Data</w:t>
      </w:r>
      <w:r>
        <w:rPr>
          <w:sz w:val="24"/>
        </w:rPr>
        <w:t xml:space="preserve">. ICLR 2025, 2025. </w:t>
      </w:r>
      <w:hyperlink r:id="rId13">
        <w:r>
          <w:rPr>
            <w:sz w:val="24"/>
          </w:rPr>
          <w:t>Primary source</w:t>
        </w:r>
      </w:hyperlink>
      <w:r>
        <w:rPr>
          <w:sz w:val="24"/>
        </w:rPr>
        <w:t>.</w:t>
      </w:r>
    </w:p>
    <w:p>
      <w:pPr>
        <w:spacing w:after="60"/>
        <w:ind w:hanging="397" w:left="397"/>
        <w:jc w:val="both"/>
      </w:pPr>
      <w:r>
        <w:rPr>
          <w:sz w:val="24"/>
        </w:rPr>
        <w:t xml:space="preserve">5. Dekoninck, J.; Baader, M.; Vechev, M. </w:t>
      </w:r>
      <w:r>
        <w:rPr>
          <w:i/>
          <w:sz w:val="24"/>
        </w:rPr>
        <w:t>A Unified Approach to Routing and Cascading for LLMs</w:t>
      </w:r>
      <w:r>
        <w:rPr>
          <w:sz w:val="24"/>
        </w:rPr>
        <w:t xml:space="preserve">. ICML 2025, PMLR 267:12987-13010, 2025. </w:t>
      </w:r>
      <w:hyperlink r:id="rId14">
        <w:r>
          <w:rPr>
            <w:sz w:val="24"/>
          </w:rPr>
          <w:t>Primary source</w:t>
        </w:r>
      </w:hyperlink>
      <w:r>
        <w:rPr>
          <w:sz w:val="24"/>
        </w:rPr>
        <w:t>.</w:t>
      </w:r>
    </w:p>
    <w:p>
      <w:pPr>
        <w:spacing w:after="60"/>
        <w:ind w:hanging="397" w:left="397"/>
        <w:jc w:val="both"/>
      </w:pPr>
      <w:r>
        <w:rPr>
          <w:sz w:val="24"/>
        </w:rPr>
        <w:t xml:space="preserve">6. Hu, Q. J.; Bieker, J.; Li, X.; et al. </w:t>
      </w:r>
      <w:r>
        <w:rPr>
          <w:i/>
          <w:sz w:val="24"/>
        </w:rPr>
        <w:t>RouterBench: A Benchmark for Multi-LLM Routing System</w:t>
      </w:r>
      <w:r>
        <w:rPr>
          <w:sz w:val="24"/>
        </w:rPr>
        <w:t xml:space="preserve">. arXiv preprint, 2024. </w:t>
      </w:r>
      <w:hyperlink r:id="rId15">
        <w:r>
          <w:rPr>
            <w:sz w:val="24"/>
          </w:rPr>
          <w:t>Primary source</w:t>
        </w:r>
      </w:hyperlink>
      <w:r>
        <w:rPr>
          <w:sz w:val="24"/>
        </w:rPr>
        <w:t>.</w:t>
      </w:r>
    </w:p>
    <w:p>
      <w:pPr>
        <w:spacing w:after="60"/>
        <w:ind w:hanging="397" w:left="397"/>
        <w:jc w:val="both"/>
      </w:pPr>
      <w:r>
        <w:rPr>
          <w:sz w:val="24"/>
        </w:rPr>
        <w:t xml:space="preserve">7. Kossen, J.; Han, J.; Razzak, M.; et al. </w:t>
      </w:r>
      <w:r>
        <w:rPr>
          <w:i/>
          <w:sz w:val="24"/>
        </w:rPr>
        <w:t>Semantic Entropy Probes: Robust and Cheap Hallucination Detection in LLMs</w:t>
      </w:r>
      <w:r>
        <w:rPr>
          <w:sz w:val="24"/>
        </w:rPr>
        <w:t xml:space="preserve">. arXiv preprint, 2024. </w:t>
      </w:r>
      <w:hyperlink r:id="rId16">
        <w:r>
          <w:rPr>
            <w:sz w:val="24"/>
          </w:rPr>
          <w:t>Primary source</w:t>
        </w:r>
      </w:hyperlink>
      <w:r>
        <w:rPr>
          <w:sz w:val="24"/>
        </w:rPr>
        <w:t>.</w:t>
      </w:r>
    </w:p>
    <w:p>
      <w:pPr>
        <w:spacing w:after="60"/>
        <w:ind w:hanging="397" w:left="397"/>
        <w:jc w:val="both"/>
      </w:pPr>
      <w:r>
        <w:rPr>
          <w:sz w:val="24"/>
        </w:rPr>
        <w:t xml:space="preserve">8. Wen, B.; Yao, J.; Feng, S.; et al. </w:t>
      </w:r>
      <w:r>
        <w:rPr>
          <w:i/>
          <w:sz w:val="24"/>
        </w:rPr>
        <w:t>Know Your Limits: A Survey of Abstention in Large Language Models</w:t>
      </w:r>
      <w:r>
        <w:rPr>
          <w:sz w:val="24"/>
        </w:rPr>
        <w:t xml:space="preserve">. arXiv preprint, 2024. </w:t>
      </w:r>
      <w:hyperlink r:id="rId17">
        <w:r>
          <w:rPr>
            <w:sz w:val="24"/>
          </w:rPr>
          <w:t>Primary source</w:t>
        </w:r>
      </w:hyperlink>
      <w:r>
        <w:rPr>
          <w:sz w:val="24"/>
        </w:rPr>
        <w:t>.</w:t>
      </w:r>
    </w:p>
    <w:p>
      <w:pPr>
        <w:spacing w:after="60"/>
        <w:ind w:hanging="397" w:left="397"/>
        <w:jc w:val="both"/>
      </w:pPr>
      <w:r>
        <w:rPr>
          <w:sz w:val="24"/>
        </w:rPr>
        <w:t xml:space="preserve">9. Yang, X.; Gao, J.; Xue, W.; et al. </w:t>
      </w:r>
      <w:r>
        <w:rPr>
          <w:i/>
          <w:sz w:val="24"/>
        </w:rPr>
        <w:t>PLLaMa: An Open-source Large Language Model for Plant Science</w:t>
      </w:r>
      <w:r>
        <w:rPr>
          <w:sz w:val="24"/>
        </w:rPr>
        <w:t xml:space="preserve">. arXiv preprint, 2024. </w:t>
      </w:r>
      <w:hyperlink r:id="rId18">
        <w:r>
          <w:rPr>
            <w:sz w:val="24"/>
          </w:rPr>
          <w:t>Primary source</w:t>
        </w:r>
      </w:hyperlink>
      <w:r>
        <w:rPr>
          <w:sz w:val="24"/>
        </w:rPr>
        <w:t>.</w:t>
      </w:r>
    </w:p>
    <w:p>
      <w:pPr>
        <w:spacing w:after="60"/>
        <w:ind w:hanging="397" w:left="397"/>
        <w:jc w:val="both"/>
      </w:pPr>
      <w:r>
        <w:rPr>
          <w:sz w:val="24"/>
        </w:rPr>
        <w:t xml:space="preserve">10. Yang, B.; Zhang, Y.; Feng, L.; et al. </w:t>
      </w:r>
      <w:r>
        <w:rPr>
          <w:i/>
          <w:sz w:val="24"/>
        </w:rPr>
        <w:t>AgriGPT: a Large Language Model Ecosystem for Agriculture</w:t>
      </w:r>
      <w:r>
        <w:rPr>
          <w:sz w:val="24"/>
        </w:rPr>
        <w:t xml:space="preserve">. arXiv preprint, 2025. </w:t>
      </w:r>
      <w:hyperlink r:id="rId19">
        <w:r>
          <w:rPr>
            <w:sz w:val="24"/>
          </w:rPr>
          <w:t>Primary source</w:t>
        </w:r>
      </w:hyperlink>
      <w:r>
        <w:rPr>
          <w:sz w:val="24"/>
        </w:rPr>
        <w:t>.</w:t>
      </w:r>
    </w:p>
    <w:p>
      <w:pPr>
        <w:spacing w:after="60"/>
        <w:ind w:hanging="397" w:left="397"/>
        <w:jc w:val="both"/>
      </w:pPr>
      <w:r>
        <w:rPr>
          <w:sz w:val="24"/>
        </w:rPr>
        <w:t xml:space="preserve">11. Samuel, D. J.; Skarga-Bandurova, I.; Sikolia, D.; et al. </w:t>
      </w:r>
      <w:r>
        <w:rPr>
          <w:i/>
          <w:sz w:val="24"/>
        </w:rPr>
        <w:t>AgroLLM: Connecting Farmers and Agricultural Practices through Large Language Models for Enhanced Knowledge Transfer and Practical Application</w:t>
      </w:r>
      <w:r>
        <w:rPr>
          <w:sz w:val="24"/>
        </w:rPr>
        <w:t xml:space="preserve">. arXiv preprint, 2025. </w:t>
      </w:r>
      <w:hyperlink r:id="rId20">
        <w:r>
          <w:rPr>
            <w:sz w:val="24"/>
          </w:rPr>
          <w:t>Primary source</w:t>
        </w:r>
      </w:hyperlink>
      <w:r>
        <w:rPr>
          <w:sz w:val="24"/>
        </w:rPr>
        <w:t>.</w:t>
      </w:r>
    </w:p>
    <w:p>
      <w:pPr>
        <w:spacing w:after="60"/>
        <w:ind w:hanging="397" w:left="397"/>
        <w:jc w:val="both"/>
      </w:pPr>
      <w:r>
        <w:rPr>
          <w:sz w:val="24"/>
        </w:rPr>
        <w:t xml:space="preserve">12. Yang, B.; Zhang, Y.; Chen, Y.; et al. </w:t>
      </w:r>
      <w:r>
        <w:rPr>
          <w:i/>
          <w:sz w:val="24"/>
        </w:rPr>
        <w:t>AgriAgent: Contract-Driven Planning and Capability-Aware Tool Orchestration in Real-World Agriculture</w:t>
      </w:r>
      <w:r>
        <w:rPr>
          <w:sz w:val="24"/>
        </w:rPr>
        <w:t xml:space="preserve">. arXiv preprint, 2026. </w:t>
      </w:r>
      <w:hyperlink r:id="rId21">
        <w:r>
          <w:rPr>
            <w:sz w:val="24"/>
          </w:rPr>
          <w:t>Primary source</w:t>
        </w:r>
      </w:hyperlink>
      <w:r>
        <w:rPr>
          <w:sz w:val="24"/>
        </w:rPr>
        <w:t>.</w:t>
      </w:r>
    </w:p>
    <w:p>
      <w:pPr>
        <w:spacing w:after="60"/>
        <w:ind w:hanging="397" w:left="397"/>
        <w:jc w:val="both"/>
      </w:pPr>
      <w:r>
        <w:rPr>
          <w:sz w:val="24"/>
        </w:rPr>
        <w:t xml:space="preserve">13. Ye, Z.; Wen, Y.; Fan, X.; et al. </w:t>
      </w:r>
      <w:r>
        <w:rPr>
          <w:i/>
          <w:sz w:val="24"/>
        </w:rPr>
        <w:t>AgroTools: A Benchmark for Tool-Augmented Multimodal Agents in Agriculture</w:t>
      </w:r>
      <w:r>
        <w:rPr>
          <w:sz w:val="24"/>
        </w:rPr>
        <w:t xml:space="preserve">. arXiv preprint, 2026. </w:t>
      </w:r>
      <w:hyperlink r:id="rId22">
        <w:r>
          <w:rPr>
            <w:sz w:val="24"/>
          </w:rPr>
          <w:t>Primary source</w:t>
        </w:r>
      </w:hyperlink>
      <w:r>
        <w:rPr>
          <w:sz w:val="24"/>
        </w:rPr>
        <w:t>.</w:t>
      </w:r>
    </w:p>
    <w:p>
      <w:pPr>
        <w:spacing w:after="60"/>
        <w:ind w:hanging="397" w:left="397"/>
        <w:jc w:val="both"/>
      </w:pPr>
      <w:r>
        <w:rPr>
          <w:sz w:val="24"/>
        </w:rPr>
        <w:t xml:space="preserve">14. Yao, S.; Shinn, N.; Razavi, P.; et al. </w:t>
      </w:r>
      <w:r>
        <w:rPr>
          <w:i/>
          <w:sz w:val="24"/>
        </w:rPr>
        <w:t>tau-bench: A Benchmark for Tool-Agent-User Interaction in Real-World Domains</w:t>
      </w:r>
      <w:r>
        <w:rPr>
          <w:sz w:val="24"/>
        </w:rPr>
        <w:t xml:space="preserve">. arXiv preprint, 2024. </w:t>
      </w:r>
      <w:hyperlink r:id="rId23">
        <w:r>
          <w:rPr>
            <w:sz w:val="24"/>
          </w:rPr>
          <w:t>Primary source</w:t>
        </w:r>
      </w:hyperlink>
      <w:r>
        <w:rPr>
          <w:sz w:val="24"/>
        </w:rPr>
        <w:t>.</w:t>
      </w:r>
    </w:p>
    <w:p>
      <w:pPr>
        <w:spacing w:after="60"/>
        <w:ind w:hanging="397" w:left="397"/>
        <w:jc w:val="both"/>
      </w:pPr>
      <w:r>
        <w:rPr>
          <w:sz w:val="24"/>
        </w:rPr>
        <w:t xml:space="preserve">15. Liu, W.; Huang, X.; Zeng, X.; et al. </w:t>
      </w:r>
      <w:r>
        <w:rPr>
          <w:i/>
          <w:sz w:val="24"/>
        </w:rPr>
        <w:t>ToolACE: Winning the Points of LLM Function Calling</w:t>
      </w:r>
      <w:r>
        <w:rPr>
          <w:sz w:val="24"/>
        </w:rPr>
        <w:t xml:space="preserve">. ICLR 2025, 2025. </w:t>
      </w:r>
      <w:hyperlink r:id="rId24">
        <w:r>
          <w:rPr>
            <w:sz w:val="24"/>
          </w:rPr>
          <w:t>Primary source</w:t>
        </w:r>
      </w:hyperlink>
      <w:r>
        <w:rPr>
          <w:sz w:val="24"/>
        </w:rPr>
        <w:t>.</w:t>
      </w:r>
    </w:p>
    <w:p>
      <w:pPr>
        <w:spacing w:after="60"/>
        <w:ind w:hanging="397" w:left="397"/>
        <w:jc w:val="both"/>
      </w:pPr>
      <w:r>
        <w:rPr>
          <w:sz w:val="24"/>
        </w:rPr>
        <w:t xml:space="preserve">16. Ma, S.; Wang, H.; Ma, L.; et al. </w:t>
      </w:r>
      <w:r>
        <w:rPr>
          <w:i/>
          <w:sz w:val="24"/>
        </w:rPr>
        <w:t>The Era of 1-bit LLMs: All Large Language Models are in 1.58 Bits</w:t>
      </w:r>
      <w:r>
        <w:rPr>
          <w:sz w:val="24"/>
        </w:rPr>
        <w:t xml:space="preserve">. arXiv preprint, 2024. </w:t>
      </w:r>
      <w:hyperlink r:id="rId25">
        <w:r>
          <w:rPr>
            <w:sz w:val="24"/>
          </w:rPr>
          <w:t>Primary source</w:t>
        </w:r>
      </w:hyperlink>
      <w:r>
        <w:rPr>
          <w:sz w:val="24"/>
        </w:rPr>
        <w:t>.</w:t>
      </w:r>
    </w:p>
    <w:p>
      <w:pPr>
        <w:spacing w:after="60"/>
        <w:ind w:hanging="397" w:left="397"/>
        <w:jc w:val="both"/>
      </w:pPr>
      <w:r>
        <w:rPr>
          <w:sz w:val="24"/>
        </w:rPr>
        <w:t xml:space="preserve">17. Gemma Team; et al. </w:t>
      </w:r>
      <w:r>
        <w:rPr>
          <w:i/>
          <w:sz w:val="24"/>
        </w:rPr>
        <w:t>Gemma 4 Technical Report</w:t>
      </w:r>
      <w:r>
        <w:rPr>
          <w:sz w:val="24"/>
        </w:rPr>
        <w:t xml:space="preserve">. arXiv preprint, 2026. </w:t>
      </w:r>
      <w:hyperlink r:id="rId26">
        <w:r>
          <w:rPr>
            <w:sz w:val="24"/>
          </w:rPr>
          <w:t>Primary source</w:t>
        </w:r>
      </w:hyperlink>
      <w:r>
        <w:rPr>
          <w:sz w:val="24"/>
        </w:rPr>
        <w:t>.</w:t>
      </w:r>
    </w:p>
    <w:p>
      <w:pPr>
        <w:spacing w:after="60"/>
        <w:ind w:hanging="397" w:left="397"/>
        <w:jc w:val="both"/>
      </w:pPr>
      <w:r>
        <w:rPr>
          <w:sz w:val="24"/>
        </w:rPr>
        <w:t xml:space="preserve">18. Kpodo, J.; Kordjamshidi, P.; Nejadhashemi, A. P. </w:t>
      </w:r>
      <w:r>
        <w:rPr>
          <w:i/>
          <w:sz w:val="24"/>
        </w:rPr>
        <w:t>AgXQA: A benchmark for advanced Agricultural Extension question answering</w:t>
      </w:r>
      <w:r>
        <w:rPr>
          <w:sz w:val="24"/>
        </w:rPr>
        <w:t xml:space="preserve">. Computers and Electronics in Agriculture 225:109349, 2024. </w:t>
      </w:r>
      <w:hyperlink r:id="rId27">
        <w:r>
          <w:rPr>
            <w:sz w:val="24"/>
          </w:rPr>
          <w:t>Primary source</w:t>
        </w:r>
      </w:hyperlink>
      <w:r>
        <w:rPr>
          <w:sz w:val="24"/>
        </w:rPr>
        <w:t>.</w:t>
      </w:r>
    </w:p>
    <w:p>
      <w:pPr>
        <w:spacing w:after="60"/>
        <w:ind w:hanging="397" w:left="397"/>
        <w:jc w:val="both"/>
      </w:pPr>
      <w:r>
        <w:rPr>
          <w:sz w:val="24"/>
        </w:rPr>
        <w:t xml:space="preserve">19. Allen, R. G.; Pereira, L. S.; Raes, D.; Smith, M. </w:t>
      </w:r>
      <w:r>
        <w:rPr>
          <w:i/>
          <w:sz w:val="24"/>
        </w:rPr>
        <w:t>Crop evapotranspiration - Guidelines for computing crop water requirements</w:t>
      </w:r>
      <w:r>
        <w:rPr>
          <w:sz w:val="24"/>
        </w:rPr>
        <w:t xml:space="preserve">. FAO Irrigation and Drainage Paper 56, 1998. </w:t>
      </w:r>
      <w:hyperlink r:id="rId28">
        <w:r>
          <w:rPr>
            <w:sz w:val="24"/>
          </w:rPr>
          <w:t>Primary source</w:t>
        </w:r>
      </w:hyperlink>
      <w:r>
        <w:rPr>
          <w:sz w:val="24"/>
        </w:rPr>
        <w:t>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240" w:lineRule="auto"/>
      <w:ind w:firstLine="709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00" w:line="240" w:lineRule="auto"/>
      <w:ind w:firstLine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0" w:line="240" w:lineRule="auto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200" w:line="240" w:lineRule="auto" w:before="0"/>
      <w:ind w:firstLine="0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40" w:lineRule="auto" w:before="0" w:after="0"/>
      <w:ind w:firstLine="0"/>
    </w:pPr>
    <w:rPr>
      <w:rFonts w:ascii="Times New Roman" w:hAnsi="Times New Roman" w:eastAsia="Times New Roman" w:cs="Times New Roman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arxiv.org/abs/2305.05176" TargetMode="External"/><Relationship Id="rId11" Type="http://schemas.openxmlformats.org/officeDocument/2006/relationships/hyperlink" Target="https://arxiv.org/abs/2310.12963" TargetMode="External"/><Relationship Id="rId12" Type="http://schemas.openxmlformats.org/officeDocument/2006/relationships/hyperlink" Target="https://arxiv.org/abs/2404.14618" TargetMode="External"/><Relationship Id="rId13" Type="http://schemas.openxmlformats.org/officeDocument/2006/relationships/hyperlink" Target="https://proceedings.iclr.cc/paper_files/paper/2025/hash/5503a7c69d48a2f86fc00b3dc09de686-Abstract-Conference.html" TargetMode="External"/><Relationship Id="rId14" Type="http://schemas.openxmlformats.org/officeDocument/2006/relationships/hyperlink" Target="https://proceedings.mlr.press/v267/dekoninck25a.html" TargetMode="External"/><Relationship Id="rId15" Type="http://schemas.openxmlformats.org/officeDocument/2006/relationships/hyperlink" Target="https://arxiv.org/abs/2403.12031" TargetMode="External"/><Relationship Id="rId16" Type="http://schemas.openxmlformats.org/officeDocument/2006/relationships/hyperlink" Target="https://arxiv.org/abs/2406.15927" TargetMode="External"/><Relationship Id="rId17" Type="http://schemas.openxmlformats.org/officeDocument/2006/relationships/hyperlink" Target="https://arxiv.org/abs/2407.18418" TargetMode="External"/><Relationship Id="rId18" Type="http://schemas.openxmlformats.org/officeDocument/2006/relationships/hyperlink" Target="https://arxiv.org/abs/2401.01600" TargetMode="External"/><Relationship Id="rId19" Type="http://schemas.openxmlformats.org/officeDocument/2006/relationships/hyperlink" Target="https://arxiv.org/abs/2508.08632" TargetMode="External"/><Relationship Id="rId20" Type="http://schemas.openxmlformats.org/officeDocument/2006/relationships/hyperlink" Target="https://arxiv.org/abs/2503.04788" TargetMode="External"/><Relationship Id="rId21" Type="http://schemas.openxmlformats.org/officeDocument/2006/relationships/hyperlink" Target="https://arxiv.org/abs/2601.08308" TargetMode="External"/><Relationship Id="rId22" Type="http://schemas.openxmlformats.org/officeDocument/2006/relationships/hyperlink" Target="https://arxiv.org/abs/2605.22366" TargetMode="External"/><Relationship Id="rId23" Type="http://schemas.openxmlformats.org/officeDocument/2006/relationships/hyperlink" Target="https://arxiv.org/abs/2406.12045" TargetMode="External"/><Relationship Id="rId24" Type="http://schemas.openxmlformats.org/officeDocument/2006/relationships/hyperlink" Target="https://proceedings.iclr.cc/paper_files/paper/2025/hash/663865ea167425c6c562cb0b6bcf76c7-Abstract-Conference.html" TargetMode="External"/><Relationship Id="rId25" Type="http://schemas.openxmlformats.org/officeDocument/2006/relationships/hyperlink" Target="https://arxiv.org/abs/2402.17764" TargetMode="External"/><Relationship Id="rId26" Type="http://schemas.openxmlformats.org/officeDocument/2006/relationships/hyperlink" Target="https://arxiv.org/abs/2607.02770" TargetMode="External"/><Relationship Id="rId27" Type="http://schemas.openxmlformats.org/officeDocument/2006/relationships/hyperlink" Target="https://doi.org/10.1016/j.compag.2024.109349" TargetMode="External"/><Relationship Id="rId28" Type="http://schemas.openxmlformats.org/officeDocument/2006/relationships/hyperlink" Target="https://www.fao.org/4/x0490e/x0490e00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Ресурсная эффективность локальных языковых моделей в аграрных задачах: сравнение конфигураций 9B и 27B и использование расчётных инструментов</dc:title>
  <dc:subject>Исследовательский черновик; согласие авторов и лицензия ожидаются</dc:subject>
  <dc:creator>Антоний Сарычев; Денис Шестернин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