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470" w:rsidRPr="00164470" w:rsidRDefault="00164470" w:rsidP="00164470">
      <w:pPr>
        <w:spacing w:after="0" w:line="360" w:lineRule="auto"/>
        <w:jc w:val="both"/>
        <w:rPr>
          <w:sz w:val="26"/>
          <w:szCs w:val="26"/>
        </w:rPr>
      </w:pPr>
      <w:r w:rsidRPr="00164470">
        <w:rPr>
          <w:sz w:val="26"/>
          <w:szCs w:val="26"/>
        </w:rPr>
        <w:t>Phương pháp phân tích thành phần chính (Principal component analysis – PCA) được giới thiệu lần đầu tiên bởi Hotelling (1933).</w:t>
      </w:r>
      <w:bookmarkStart w:id="0" w:name="_GoBack"/>
      <w:bookmarkEnd w:id="0"/>
    </w:p>
    <w:p w:rsidR="00383A79" w:rsidRDefault="00164470" w:rsidP="00164470">
      <w:pPr>
        <w:spacing w:after="0" w:line="360" w:lineRule="auto"/>
        <w:jc w:val="both"/>
        <w:rPr>
          <w:sz w:val="26"/>
          <w:szCs w:val="26"/>
        </w:rPr>
      </w:pPr>
      <w:r w:rsidRPr="00164470">
        <w:rPr>
          <w:sz w:val="26"/>
          <w:szCs w:val="26"/>
        </w:rPr>
        <w:t>PCA là là một công cụ, là quy trình toán học dùng để giảm dữ liệu nhiều biến số thành số chiều ít hơn nhưng không mất mát thông tin trước đó. Trong đó, thành phần chính thứ nhất đại diện cho biến thiên lớn nhất của dữ liệu. Các thành phần tiếp theo cho độ biến thiên ít hơn thành phần chính thứ nhất.</w:t>
      </w:r>
      <w:r>
        <w:rPr>
          <w:sz w:val="26"/>
          <w:szCs w:val="26"/>
        </w:rPr>
        <w:t xml:space="preserve"> phân tích </w:t>
      </w:r>
      <w:r w:rsidRPr="00164470">
        <w:rPr>
          <w:sz w:val="26"/>
          <w:szCs w:val="26"/>
        </w:rPr>
        <w:t xml:space="preserve">PCA </w:t>
      </w:r>
      <w:r>
        <w:rPr>
          <w:sz w:val="26"/>
          <w:szCs w:val="26"/>
        </w:rPr>
        <w:t>được thao tác thông qua các hàm chính</w:t>
      </w:r>
      <w:r w:rsidRPr="00164470">
        <w:rPr>
          <w:sz w:val="26"/>
          <w:szCs w:val="26"/>
        </w:rPr>
        <w:t xml:space="preserve"> factoextra </w:t>
      </w:r>
      <w:r>
        <w:rPr>
          <w:sz w:val="26"/>
          <w:szCs w:val="26"/>
        </w:rPr>
        <w:t>thông qua ngôn ngữ R</w:t>
      </w:r>
      <w:r w:rsidRPr="00164470">
        <w:rPr>
          <w:sz w:val="26"/>
          <w:szCs w:val="26"/>
        </w:rPr>
        <w:t>.</w:t>
      </w:r>
      <w:r>
        <w:rPr>
          <w:sz w:val="26"/>
          <w:szCs w:val="26"/>
        </w:rPr>
        <w:t xml:space="preserve"> Hai giá trị </w:t>
      </w:r>
      <w:r w:rsidRPr="00164470">
        <w:rPr>
          <w:sz w:val="26"/>
          <w:szCs w:val="26"/>
        </w:rPr>
        <w:t xml:space="preserve">eigenvector </w:t>
      </w:r>
      <w:r>
        <w:rPr>
          <w:sz w:val="26"/>
          <w:szCs w:val="26"/>
        </w:rPr>
        <w:t xml:space="preserve">(hướng)và </w:t>
      </w:r>
      <w:r w:rsidRPr="00164470">
        <w:rPr>
          <w:sz w:val="26"/>
          <w:szCs w:val="26"/>
        </w:rPr>
        <w:t xml:space="preserve">eigenvalue </w:t>
      </w:r>
      <w:r>
        <w:rPr>
          <w:sz w:val="26"/>
          <w:szCs w:val="26"/>
        </w:rPr>
        <w:t>(giá trị)</w:t>
      </w:r>
      <w:r w:rsidRPr="00164470">
        <w:rPr>
          <w:sz w:val="26"/>
          <w:szCs w:val="26"/>
        </w:rPr>
        <w:t xml:space="preserve"> </w:t>
      </w:r>
      <w:r>
        <w:rPr>
          <w:sz w:val="26"/>
          <w:szCs w:val="26"/>
        </w:rPr>
        <w:t>sẽ biểu thị sự khác biệt của các dữ liệu trong mỗi hướng</w:t>
      </w:r>
      <w:r w:rsidRPr="00164470">
        <w:rPr>
          <w:sz w:val="26"/>
          <w:szCs w:val="26"/>
        </w:rPr>
        <w:t xml:space="preserve">. </w:t>
      </w:r>
      <w:r>
        <w:rPr>
          <w:sz w:val="26"/>
          <w:szCs w:val="26"/>
        </w:rPr>
        <w:t>Tham số</w:t>
      </w:r>
      <w:r w:rsidRPr="00164470">
        <w:rPr>
          <w:sz w:val="26"/>
          <w:szCs w:val="26"/>
        </w:rPr>
        <w:t xml:space="preserve"> eigenvector </w:t>
      </w:r>
      <w:r>
        <w:rPr>
          <w:sz w:val="26"/>
          <w:szCs w:val="26"/>
        </w:rPr>
        <w:t>với giá trị</w:t>
      </w:r>
      <w:r w:rsidRPr="00164470">
        <w:rPr>
          <w:sz w:val="26"/>
          <w:szCs w:val="26"/>
        </w:rPr>
        <w:t xml:space="preserve"> eigenvalue </w:t>
      </w:r>
      <w:r>
        <w:rPr>
          <w:sz w:val="26"/>
          <w:szCs w:val="26"/>
        </w:rPr>
        <w:t>lớn nhất luôn luôn là thành phần thứ nhất trong các thành phần chính</w:t>
      </w:r>
      <w:r w:rsidRPr="00164470">
        <w:rPr>
          <w:sz w:val="26"/>
          <w:szCs w:val="26"/>
        </w:rPr>
        <w:t>.</w:t>
      </w:r>
    </w:p>
    <w:p w:rsidR="00F95715" w:rsidRDefault="00D96F51" w:rsidP="00164470">
      <w:pPr>
        <w:spacing w:after="0" w:line="360" w:lineRule="auto"/>
        <w:jc w:val="both"/>
        <w:rPr>
          <w:sz w:val="26"/>
          <w:szCs w:val="26"/>
        </w:rPr>
      </w:pPr>
      <w:r>
        <w:rPr>
          <w:sz w:val="26"/>
          <w:szCs w:val="26"/>
        </w:rPr>
        <w:t>Bảng 1</w:t>
      </w:r>
    </w:p>
    <w:tbl>
      <w:tblPr>
        <w:tblStyle w:val="TableGrid"/>
        <w:tblW w:w="0" w:type="auto"/>
        <w:tblLook w:val="04A0" w:firstRow="1" w:lastRow="0" w:firstColumn="1" w:lastColumn="0" w:noHBand="0" w:noVBand="1"/>
      </w:tblPr>
      <w:tblGrid>
        <w:gridCol w:w="2337"/>
        <w:gridCol w:w="2337"/>
        <w:gridCol w:w="2338"/>
        <w:gridCol w:w="2338"/>
      </w:tblGrid>
      <w:tr w:rsidR="00116928" w:rsidTr="00116928">
        <w:tc>
          <w:tcPr>
            <w:tcW w:w="2337" w:type="dxa"/>
          </w:tcPr>
          <w:p w:rsidR="00116928" w:rsidRDefault="00116928" w:rsidP="00116928">
            <w:pPr>
              <w:spacing w:line="360" w:lineRule="auto"/>
              <w:jc w:val="center"/>
              <w:rPr>
                <w:sz w:val="26"/>
                <w:szCs w:val="26"/>
              </w:rPr>
            </w:pPr>
            <w:r>
              <w:rPr>
                <w:sz w:val="26"/>
                <w:szCs w:val="26"/>
              </w:rPr>
              <w:t>Thành phần</w:t>
            </w:r>
          </w:p>
        </w:tc>
        <w:tc>
          <w:tcPr>
            <w:tcW w:w="2337" w:type="dxa"/>
          </w:tcPr>
          <w:p w:rsidR="00116928" w:rsidRDefault="00116928" w:rsidP="00116928">
            <w:pPr>
              <w:spacing w:line="360" w:lineRule="auto"/>
              <w:jc w:val="center"/>
              <w:rPr>
                <w:sz w:val="26"/>
                <w:szCs w:val="26"/>
              </w:rPr>
            </w:pPr>
            <w:r>
              <w:rPr>
                <w:sz w:val="26"/>
                <w:szCs w:val="26"/>
              </w:rPr>
              <w:t>Sự khác biệt</w:t>
            </w:r>
          </w:p>
        </w:tc>
        <w:tc>
          <w:tcPr>
            <w:tcW w:w="2338" w:type="dxa"/>
          </w:tcPr>
          <w:p w:rsidR="00116928" w:rsidRDefault="00116928" w:rsidP="00116928">
            <w:pPr>
              <w:spacing w:line="360" w:lineRule="auto"/>
              <w:jc w:val="center"/>
              <w:rPr>
                <w:sz w:val="26"/>
                <w:szCs w:val="26"/>
              </w:rPr>
            </w:pPr>
            <w:r>
              <w:rPr>
                <w:sz w:val="26"/>
                <w:szCs w:val="26"/>
              </w:rPr>
              <w:t>%</w:t>
            </w:r>
          </w:p>
        </w:tc>
        <w:tc>
          <w:tcPr>
            <w:tcW w:w="2338" w:type="dxa"/>
          </w:tcPr>
          <w:p w:rsidR="00116928" w:rsidRDefault="00116928" w:rsidP="00116928">
            <w:pPr>
              <w:spacing w:line="360" w:lineRule="auto"/>
              <w:jc w:val="center"/>
              <w:rPr>
                <w:sz w:val="26"/>
                <w:szCs w:val="26"/>
              </w:rPr>
            </w:pPr>
            <w:r>
              <w:rPr>
                <w:sz w:val="26"/>
                <w:szCs w:val="26"/>
              </w:rPr>
              <w:t>% tích lũy</w:t>
            </w:r>
          </w:p>
        </w:tc>
      </w:tr>
      <w:tr w:rsidR="00116928" w:rsidTr="00116928">
        <w:tc>
          <w:tcPr>
            <w:tcW w:w="2337" w:type="dxa"/>
          </w:tcPr>
          <w:p w:rsidR="00116928" w:rsidRDefault="00116928" w:rsidP="00164470">
            <w:pPr>
              <w:spacing w:line="360" w:lineRule="auto"/>
              <w:jc w:val="both"/>
              <w:rPr>
                <w:sz w:val="26"/>
                <w:szCs w:val="26"/>
              </w:rPr>
            </w:pPr>
            <w:r>
              <w:rPr>
                <w:sz w:val="26"/>
                <w:szCs w:val="26"/>
              </w:rPr>
              <w:t>1</w:t>
            </w:r>
          </w:p>
          <w:p w:rsidR="00116928" w:rsidRDefault="00116928" w:rsidP="00164470">
            <w:pPr>
              <w:spacing w:line="360" w:lineRule="auto"/>
              <w:jc w:val="both"/>
              <w:rPr>
                <w:sz w:val="26"/>
                <w:szCs w:val="26"/>
              </w:rPr>
            </w:pPr>
            <w:r>
              <w:rPr>
                <w:sz w:val="26"/>
                <w:szCs w:val="26"/>
              </w:rPr>
              <w:t>2</w:t>
            </w:r>
          </w:p>
          <w:p w:rsidR="00116928" w:rsidRDefault="00116928" w:rsidP="00164470">
            <w:pPr>
              <w:spacing w:line="360" w:lineRule="auto"/>
              <w:jc w:val="both"/>
              <w:rPr>
                <w:sz w:val="26"/>
                <w:szCs w:val="26"/>
              </w:rPr>
            </w:pPr>
            <w:r>
              <w:rPr>
                <w:sz w:val="26"/>
                <w:szCs w:val="26"/>
              </w:rPr>
              <w:t>3</w:t>
            </w:r>
          </w:p>
          <w:p w:rsidR="00116928" w:rsidRDefault="00116928" w:rsidP="00164470">
            <w:pPr>
              <w:spacing w:line="360" w:lineRule="auto"/>
              <w:jc w:val="both"/>
              <w:rPr>
                <w:sz w:val="26"/>
                <w:szCs w:val="26"/>
              </w:rPr>
            </w:pPr>
            <w:r>
              <w:rPr>
                <w:sz w:val="26"/>
                <w:szCs w:val="26"/>
              </w:rPr>
              <w:t>4</w:t>
            </w:r>
          </w:p>
        </w:tc>
        <w:tc>
          <w:tcPr>
            <w:tcW w:w="2337" w:type="dxa"/>
          </w:tcPr>
          <w:p w:rsidR="00116928" w:rsidRDefault="00116928" w:rsidP="00164470">
            <w:pPr>
              <w:spacing w:line="360" w:lineRule="auto"/>
              <w:jc w:val="both"/>
              <w:rPr>
                <w:sz w:val="26"/>
                <w:szCs w:val="26"/>
              </w:rPr>
            </w:pPr>
            <w:r w:rsidRPr="00116928">
              <w:rPr>
                <w:sz w:val="26"/>
                <w:szCs w:val="26"/>
              </w:rPr>
              <w:t>2.248991e+00</w:t>
            </w:r>
          </w:p>
          <w:p w:rsidR="00116928" w:rsidRDefault="00116928" w:rsidP="00164470">
            <w:pPr>
              <w:spacing w:line="360" w:lineRule="auto"/>
              <w:jc w:val="both"/>
              <w:rPr>
                <w:sz w:val="26"/>
                <w:szCs w:val="26"/>
              </w:rPr>
            </w:pPr>
            <w:r w:rsidRPr="00116928">
              <w:rPr>
                <w:sz w:val="26"/>
                <w:szCs w:val="26"/>
              </w:rPr>
              <w:t>9.495936e-01</w:t>
            </w:r>
          </w:p>
          <w:p w:rsidR="00116928" w:rsidRDefault="00116928" w:rsidP="00164470">
            <w:pPr>
              <w:spacing w:line="360" w:lineRule="auto"/>
              <w:jc w:val="both"/>
              <w:rPr>
                <w:sz w:val="26"/>
                <w:szCs w:val="26"/>
              </w:rPr>
            </w:pPr>
            <w:r w:rsidRPr="00116928">
              <w:rPr>
                <w:sz w:val="26"/>
                <w:szCs w:val="26"/>
              </w:rPr>
              <w:t>8.014152e-01</w:t>
            </w:r>
          </w:p>
          <w:p w:rsidR="00116928" w:rsidRDefault="00116928" w:rsidP="00164470">
            <w:pPr>
              <w:spacing w:line="360" w:lineRule="auto"/>
              <w:jc w:val="both"/>
              <w:rPr>
                <w:sz w:val="26"/>
                <w:szCs w:val="26"/>
              </w:rPr>
            </w:pPr>
            <w:r w:rsidRPr="00116928">
              <w:rPr>
                <w:sz w:val="26"/>
                <w:szCs w:val="26"/>
              </w:rPr>
              <w:t xml:space="preserve"> 1.320379e-30</w:t>
            </w:r>
          </w:p>
        </w:tc>
        <w:tc>
          <w:tcPr>
            <w:tcW w:w="2338" w:type="dxa"/>
          </w:tcPr>
          <w:p w:rsidR="00116928" w:rsidRDefault="00116928" w:rsidP="00164470">
            <w:pPr>
              <w:spacing w:line="360" w:lineRule="auto"/>
              <w:jc w:val="both"/>
              <w:rPr>
                <w:sz w:val="26"/>
                <w:szCs w:val="26"/>
              </w:rPr>
            </w:pPr>
            <w:r w:rsidRPr="00116928">
              <w:rPr>
                <w:sz w:val="26"/>
                <w:szCs w:val="26"/>
              </w:rPr>
              <w:t>5.622478e+01</w:t>
            </w:r>
          </w:p>
          <w:p w:rsidR="00116928" w:rsidRDefault="00116928" w:rsidP="00164470">
            <w:pPr>
              <w:spacing w:line="360" w:lineRule="auto"/>
              <w:jc w:val="both"/>
              <w:rPr>
                <w:sz w:val="26"/>
                <w:szCs w:val="26"/>
              </w:rPr>
            </w:pPr>
            <w:r w:rsidRPr="00116928">
              <w:rPr>
                <w:sz w:val="26"/>
                <w:szCs w:val="26"/>
              </w:rPr>
              <w:t xml:space="preserve"> 2.373984e+01</w:t>
            </w:r>
          </w:p>
          <w:p w:rsidR="00F95715" w:rsidRDefault="00F95715" w:rsidP="00164470">
            <w:pPr>
              <w:spacing w:line="360" w:lineRule="auto"/>
              <w:jc w:val="both"/>
              <w:rPr>
                <w:sz w:val="26"/>
                <w:szCs w:val="26"/>
              </w:rPr>
            </w:pPr>
            <w:r w:rsidRPr="00F95715">
              <w:rPr>
                <w:sz w:val="26"/>
                <w:szCs w:val="26"/>
              </w:rPr>
              <w:t>2.003538e+01</w:t>
            </w:r>
          </w:p>
          <w:p w:rsidR="00F95715" w:rsidRDefault="00F95715" w:rsidP="00164470">
            <w:pPr>
              <w:spacing w:line="360" w:lineRule="auto"/>
              <w:jc w:val="both"/>
              <w:rPr>
                <w:sz w:val="26"/>
                <w:szCs w:val="26"/>
              </w:rPr>
            </w:pPr>
            <w:r w:rsidRPr="00F95715">
              <w:rPr>
                <w:sz w:val="26"/>
                <w:szCs w:val="26"/>
              </w:rPr>
              <w:t>3.300947e-29</w:t>
            </w:r>
          </w:p>
        </w:tc>
        <w:tc>
          <w:tcPr>
            <w:tcW w:w="2338" w:type="dxa"/>
          </w:tcPr>
          <w:p w:rsidR="00116928" w:rsidRDefault="00F95715" w:rsidP="00164470">
            <w:pPr>
              <w:spacing w:line="360" w:lineRule="auto"/>
              <w:jc w:val="both"/>
              <w:rPr>
                <w:sz w:val="26"/>
                <w:szCs w:val="26"/>
              </w:rPr>
            </w:pPr>
            <w:r w:rsidRPr="00F95715">
              <w:rPr>
                <w:sz w:val="26"/>
                <w:szCs w:val="26"/>
              </w:rPr>
              <w:t>56.22478</w:t>
            </w:r>
          </w:p>
          <w:p w:rsidR="00F95715" w:rsidRDefault="00F95715" w:rsidP="00164470">
            <w:pPr>
              <w:spacing w:line="360" w:lineRule="auto"/>
              <w:jc w:val="both"/>
              <w:rPr>
                <w:sz w:val="26"/>
                <w:szCs w:val="26"/>
              </w:rPr>
            </w:pPr>
            <w:r w:rsidRPr="00F95715">
              <w:rPr>
                <w:sz w:val="26"/>
                <w:szCs w:val="26"/>
              </w:rPr>
              <w:t>79.96462</w:t>
            </w:r>
          </w:p>
          <w:p w:rsidR="00F95715" w:rsidRDefault="00F95715" w:rsidP="00164470">
            <w:pPr>
              <w:spacing w:line="360" w:lineRule="auto"/>
              <w:jc w:val="both"/>
              <w:rPr>
                <w:sz w:val="26"/>
                <w:szCs w:val="26"/>
              </w:rPr>
            </w:pPr>
            <w:r w:rsidRPr="00F95715">
              <w:rPr>
                <w:sz w:val="26"/>
                <w:szCs w:val="26"/>
              </w:rPr>
              <w:t>100.00000</w:t>
            </w:r>
          </w:p>
          <w:p w:rsidR="00F95715" w:rsidRDefault="00F95715" w:rsidP="00164470">
            <w:pPr>
              <w:spacing w:line="360" w:lineRule="auto"/>
              <w:jc w:val="both"/>
              <w:rPr>
                <w:sz w:val="26"/>
                <w:szCs w:val="26"/>
              </w:rPr>
            </w:pPr>
            <w:r w:rsidRPr="00F95715">
              <w:rPr>
                <w:sz w:val="26"/>
                <w:szCs w:val="26"/>
              </w:rPr>
              <w:t>100.00000</w:t>
            </w:r>
          </w:p>
        </w:tc>
      </w:tr>
    </w:tbl>
    <w:p w:rsidR="00164470" w:rsidRDefault="003E2EA4" w:rsidP="004D26B4">
      <w:pPr>
        <w:spacing w:line="360" w:lineRule="auto"/>
        <w:jc w:val="both"/>
        <w:rPr>
          <w:sz w:val="26"/>
          <w:szCs w:val="26"/>
        </w:rPr>
      </w:pPr>
      <w:r>
        <w:rPr>
          <w:sz w:val="26"/>
          <w:szCs w:val="26"/>
        </w:rPr>
        <w:t xml:space="preserve">Bảng 1, giải thích sự khác biệt của mỗi thành phần dựa vào giá trị </w:t>
      </w:r>
      <w:r w:rsidR="00D96F51" w:rsidRPr="00D96F51">
        <w:rPr>
          <w:sz w:val="26"/>
          <w:szCs w:val="26"/>
        </w:rPr>
        <w:t xml:space="preserve">eigenvalue </w:t>
      </w:r>
      <w:r>
        <w:rPr>
          <w:sz w:val="26"/>
          <w:szCs w:val="26"/>
        </w:rPr>
        <w:t>được thể hiện ở cột thứ 2</w:t>
      </w:r>
      <w:r w:rsidR="00D96F51" w:rsidRPr="00D96F51">
        <w:rPr>
          <w:sz w:val="26"/>
          <w:szCs w:val="26"/>
        </w:rPr>
        <w:t xml:space="preserve">. </w:t>
      </w:r>
      <w:r>
        <w:rPr>
          <w:sz w:val="26"/>
          <w:szCs w:val="26"/>
        </w:rPr>
        <w:t>Cụ thể, 2</w:t>
      </w:r>
      <w:r w:rsidR="00716558">
        <w:rPr>
          <w:sz w:val="26"/>
          <w:szCs w:val="26"/>
        </w:rPr>
        <w:t>.</w:t>
      </w:r>
      <w:r>
        <w:rPr>
          <w:sz w:val="26"/>
          <w:szCs w:val="26"/>
        </w:rPr>
        <w:t>248991</w:t>
      </w:r>
      <w:r w:rsidR="004D26B4">
        <w:rPr>
          <w:sz w:val="26"/>
          <w:szCs w:val="26"/>
        </w:rPr>
        <w:t>(</w:t>
      </w:r>
      <w:r w:rsidR="004D26B4" w:rsidRPr="00116928">
        <w:rPr>
          <w:sz w:val="26"/>
          <w:szCs w:val="26"/>
        </w:rPr>
        <w:t>2.248991e+00</w:t>
      </w:r>
      <w:r w:rsidR="004D26B4">
        <w:rPr>
          <w:sz w:val="26"/>
          <w:szCs w:val="26"/>
        </w:rPr>
        <w:t>)</w:t>
      </w:r>
      <w:r w:rsidR="00716558">
        <w:rPr>
          <w:sz w:val="26"/>
          <w:szCs w:val="26"/>
        </w:rPr>
        <w:t xml:space="preserve"> </w:t>
      </w:r>
      <w:r>
        <w:rPr>
          <w:sz w:val="26"/>
          <w:szCs w:val="26"/>
        </w:rPr>
        <w:t>chia cho 4 sẽ có kết quả 56</w:t>
      </w:r>
      <w:r w:rsidR="00716558">
        <w:rPr>
          <w:sz w:val="26"/>
          <w:szCs w:val="26"/>
        </w:rPr>
        <w:t>.</w:t>
      </w:r>
      <w:r>
        <w:rPr>
          <w:sz w:val="26"/>
          <w:szCs w:val="26"/>
        </w:rPr>
        <w:t xml:space="preserve">22478% </w:t>
      </w:r>
      <w:r w:rsidR="004D26B4">
        <w:rPr>
          <w:sz w:val="26"/>
          <w:szCs w:val="26"/>
        </w:rPr>
        <w:t>(</w:t>
      </w:r>
      <w:r w:rsidR="004D26B4" w:rsidRPr="00116928">
        <w:rPr>
          <w:sz w:val="26"/>
          <w:szCs w:val="26"/>
        </w:rPr>
        <w:t>5.622478e+01</w:t>
      </w:r>
      <w:r w:rsidR="004D26B4">
        <w:rPr>
          <w:sz w:val="26"/>
          <w:szCs w:val="26"/>
        </w:rPr>
        <w:t xml:space="preserve">%) </w:t>
      </w:r>
      <w:r w:rsidR="00716558">
        <w:rPr>
          <w:sz w:val="26"/>
          <w:szCs w:val="26"/>
        </w:rPr>
        <w:t>biểu thị sự khác biệt của thành phần thứ nhất</w:t>
      </w:r>
      <w:r w:rsidR="00D96F51" w:rsidRPr="00D96F51">
        <w:rPr>
          <w:sz w:val="26"/>
          <w:szCs w:val="26"/>
        </w:rPr>
        <w:t xml:space="preserve">. </w:t>
      </w:r>
      <w:r w:rsidR="00716558">
        <w:rPr>
          <w:sz w:val="26"/>
          <w:szCs w:val="26"/>
        </w:rPr>
        <w:t xml:space="preserve">Giá trị  phần trăm tích lũy </w:t>
      </w:r>
      <w:r w:rsidR="00226158">
        <w:rPr>
          <w:sz w:val="26"/>
          <w:szCs w:val="26"/>
        </w:rPr>
        <w:t>được tính bằng cách cộng thêm các tỷ lệ ở các thành phần tiếp theo. Cụ thể, 56.22478%</w:t>
      </w:r>
      <w:r w:rsidR="00D96F51" w:rsidRPr="00D96F51">
        <w:rPr>
          <w:sz w:val="26"/>
          <w:szCs w:val="26"/>
        </w:rPr>
        <w:t xml:space="preserve">% </w:t>
      </w:r>
      <w:r w:rsidR="00226158">
        <w:rPr>
          <w:sz w:val="26"/>
          <w:szCs w:val="26"/>
        </w:rPr>
        <w:t>cộng với</w:t>
      </w:r>
      <w:r w:rsidR="00D96F51" w:rsidRPr="00D96F51">
        <w:rPr>
          <w:sz w:val="26"/>
          <w:szCs w:val="26"/>
        </w:rPr>
        <w:t xml:space="preserve"> </w:t>
      </w:r>
      <w:r w:rsidR="00226158">
        <w:rPr>
          <w:sz w:val="26"/>
          <w:szCs w:val="26"/>
        </w:rPr>
        <w:t>23.73984</w:t>
      </w:r>
      <w:r w:rsidR="00D96F51" w:rsidRPr="00D96F51">
        <w:rPr>
          <w:sz w:val="26"/>
          <w:szCs w:val="26"/>
        </w:rPr>
        <w:t xml:space="preserve">% </w:t>
      </w:r>
      <w:r w:rsidR="00226158">
        <w:rPr>
          <w:sz w:val="26"/>
          <w:szCs w:val="26"/>
        </w:rPr>
        <w:t>sẽ là 79.96462</w:t>
      </w:r>
      <w:r w:rsidR="00D96F51" w:rsidRPr="00D96F51">
        <w:rPr>
          <w:sz w:val="26"/>
          <w:szCs w:val="26"/>
        </w:rPr>
        <w:t>%</w:t>
      </w:r>
      <w:r w:rsidR="00226158">
        <w:rPr>
          <w:sz w:val="26"/>
          <w:szCs w:val="26"/>
        </w:rPr>
        <w:t>.</w:t>
      </w:r>
      <w:r w:rsidR="00D96F51" w:rsidRPr="00D96F51">
        <w:rPr>
          <w:sz w:val="26"/>
          <w:szCs w:val="26"/>
        </w:rPr>
        <w:t xml:space="preserve"> </w:t>
      </w:r>
      <w:r w:rsidR="00226158">
        <w:rPr>
          <w:sz w:val="26"/>
          <w:szCs w:val="26"/>
        </w:rPr>
        <w:t>Có thể hiểu, với 2 thành phần đầu tiên, chiếm 79.96462%</w:t>
      </w:r>
      <w:r w:rsidR="00D96F51" w:rsidRPr="00D96F51">
        <w:rPr>
          <w:sz w:val="26"/>
          <w:szCs w:val="26"/>
        </w:rPr>
        <w:t xml:space="preserve"> </w:t>
      </w:r>
      <w:r w:rsidR="007B53EA">
        <w:rPr>
          <w:sz w:val="26"/>
          <w:szCs w:val="26"/>
        </w:rPr>
        <w:t>trong tổng số các thành phần</w:t>
      </w:r>
      <w:r w:rsidR="00D96F51" w:rsidRPr="00D96F51">
        <w:rPr>
          <w:sz w:val="26"/>
          <w:szCs w:val="26"/>
        </w:rPr>
        <w:t>.</w:t>
      </w:r>
      <w:r w:rsidR="004D26B4">
        <w:rPr>
          <w:sz w:val="26"/>
          <w:szCs w:val="26"/>
        </w:rPr>
        <w:t xml:space="preserve"> </w:t>
      </w:r>
    </w:p>
    <w:p w:rsidR="004D26B4" w:rsidRDefault="004D26B4" w:rsidP="004D26B4">
      <w:pPr>
        <w:spacing w:line="360" w:lineRule="auto"/>
        <w:jc w:val="both"/>
        <w:rPr>
          <w:sz w:val="26"/>
          <w:szCs w:val="26"/>
        </w:rPr>
      </w:pPr>
      <w:r>
        <w:rPr>
          <w:sz w:val="26"/>
          <w:szCs w:val="26"/>
        </w:rPr>
        <w:t>Giá trị e</w:t>
      </w:r>
      <w:r w:rsidRPr="004D26B4">
        <w:rPr>
          <w:sz w:val="26"/>
          <w:szCs w:val="26"/>
        </w:rPr>
        <w:t xml:space="preserve">igenvalues </w:t>
      </w:r>
      <w:r>
        <w:rPr>
          <w:sz w:val="26"/>
          <w:szCs w:val="26"/>
        </w:rPr>
        <w:t>có thể được dùng để xác định số thành phần</w:t>
      </w:r>
      <w:r w:rsidRPr="004D26B4">
        <w:rPr>
          <w:sz w:val="26"/>
          <w:szCs w:val="26"/>
        </w:rPr>
        <w:t xml:space="preserve"> </w:t>
      </w:r>
      <w:r>
        <w:rPr>
          <w:sz w:val="26"/>
          <w:szCs w:val="26"/>
        </w:rPr>
        <w:t>còn lại sau PCA (Kaiser 1961). Cụ thể:</w:t>
      </w:r>
    </w:p>
    <w:p w:rsidR="004D26B4" w:rsidRPr="00A12A56" w:rsidRDefault="00A12A56" w:rsidP="00A12A56">
      <w:pPr>
        <w:pStyle w:val="ListParagraph"/>
        <w:numPr>
          <w:ilvl w:val="0"/>
          <w:numId w:val="1"/>
        </w:numPr>
        <w:spacing w:line="360" w:lineRule="auto"/>
        <w:jc w:val="both"/>
        <w:rPr>
          <w:sz w:val="26"/>
          <w:szCs w:val="26"/>
        </w:rPr>
      </w:pPr>
      <w:r w:rsidRPr="00A12A56">
        <w:rPr>
          <w:sz w:val="26"/>
          <w:szCs w:val="26"/>
        </w:rPr>
        <w:t xml:space="preserve">Nếu </w:t>
      </w:r>
      <w:r w:rsidR="004D26B4" w:rsidRPr="00A12A56">
        <w:rPr>
          <w:sz w:val="26"/>
          <w:szCs w:val="26"/>
        </w:rPr>
        <w:t xml:space="preserve">eigenvalue &gt; 1 </w:t>
      </w:r>
      <w:r>
        <w:rPr>
          <w:sz w:val="26"/>
          <w:szCs w:val="26"/>
        </w:rPr>
        <w:t>chỉ ra rẳng, thành phần (</w:t>
      </w:r>
      <w:r w:rsidR="004D26B4" w:rsidRPr="00A12A56">
        <w:rPr>
          <w:sz w:val="26"/>
          <w:szCs w:val="26"/>
        </w:rPr>
        <w:t>PC</w:t>
      </w:r>
      <w:r>
        <w:rPr>
          <w:sz w:val="26"/>
          <w:szCs w:val="26"/>
        </w:rPr>
        <w:t>) đó</w:t>
      </w:r>
      <w:r w:rsidR="004D26B4" w:rsidRPr="00A12A56">
        <w:rPr>
          <w:sz w:val="26"/>
          <w:szCs w:val="26"/>
        </w:rPr>
        <w:t xml:space="preserve"> </w:t>
      </w:r>
      <w:r>
        <w:rPr>
          <w:sz w:val="26"/>
          <w:szCs w:val="26"/>
        </w:rPr>
        <w:t>có ý nghĩa khác biệt thực sự khi so sánh với giá trị giá trị chuẩn (</w:t>
      </w:r>
      <w:r w:rsidR="004D26B4" w:rsidRPr="00A12A56">
        <w:rPr>
          <w:sz w:val="26"/>
          <w:szCs w:val="26"/>
        </w:rPr>
        <w:t>standardized</w:t>
      </w:r>
      <w:r>
        <w:rPr>
          <w:sz w:val="26"/>
          <w:szCs w:val="26"/>
        </w:rPr>
        <w:t>)</w:t>
      </w:r>
      <w:r w:rsidR="004D26B4" w:rsidRPr="00A12A56">
        <w:rPr>
          <w:sz w:val="26"/>
          <w:szCs w:val="26"/>
        </w:rPr>
        <w:t xml:space="preserve"> </w:t>
      </w:r>
      <w:r>
        <w:rPr>
          <w:sz w:val="26"/>
          <w:szCs w:val="26"/>
        </w:rPr>
        <w:t>ban đầu</w:t>
      </w:r>
      <w:r w:rsidR="004D26B4" w:rsidRPr="00A12A56">
        <w:rPr>
          <w:sz w:val="26"/>
          <w:szCs w:val="26"/>
        </w:rPr>
        <w:t xml:space="preserve">. </w:t>
      </w:r>
      <w:r>
        <w:rPr>
          <w:sz w:val="26"/>
          <w:szCs w:val="26"/>
        </w:rPr>
        <w:t>Giá trị này được dùng để giảm bớt số thành phần đối với trường hợp dữ liệu đầ</w:t>
      </w:r>
      <w:r w:rsidR="006D3324">
        <w:rPr>
          <w:sz w:val="26"/>
          <w:szCs w:val="26"/>
        </w:rPr>
        <w:t>u vào có quá nhiều cột.</w:t>
      </w:r>
    </w:p>
    <w:p w:rsidR="004D26B4" w:rsidRPr="004D26B4" w:rsidRDefault="004D26B4" w:rsidP="004D26B4">
      <w:pPr>
        <w:spacing w:line="360" w:lineRule="auto"/>
        <w:jc w:val="both"/>
        <w:rPr>
          <w:sz w:val="26"/>
          <w:szCs w:val="26"/>
        </w:rPr>
      </w:pPr>
    </w:p>
    <w:p w:rsidR="004D26B4" w:rsidRDefault="006D3324" w:rsidP="006D3324">
      <w:pPr>
        <w:pStyle w:val="ListParagraph"/>
        <w:numPr>
          <w:ilvl w:val="0"/>
          <w:numId w:val="1"/>
        </w:numPr>
        <w:spacing w:line="360" w:lineRule="auto"/>
        <w:jc w:val="both"/>
        <w:rPr>
          <w:sz w:val="26"/>
          <w:szCs w:val="26"/>
        </w:rPr>
      </w:pPr>
      <w:r>
        <w:rPr>
          <w:sz w:val="26"/>
          <w:szCs w:val="26"/>
        </w:rPr>
        <w:t xml:space="preserve">Trong trường hợp giá trị eigenvalue &lt;1 hoặc có quá ít thành phần phân tích, chúng ta có thể sử dụng tổng số sự khác biệt làm tiêu chí để giảm bớt số thành phần. Cụ thể, nếu có hơn </w:t>
      </w:r>
      <w:r w:rsidR="004D26B4" w:rsidRPr="006D3324">
        <w:rPr>
          <w:sz w:val="26"/>
          <w:szCs w:val="26"/>
        </w:rPr>
        <w:t xml:space="preserve">70% </w:t>
      </w:r>
      <w:r>
        <w:rPr>
          <w:sz w:val="26"/>
          <w:szCs w:val="26"/>
        </w:rPr>
        <w:t>tổng số sự khác biệt tích lũy thì số thành phần tương ứng được coi là chấp nhận được</w:t>
      </w:r>
      <w:r w:rsidR="004D26B4" w:rsidRPr="006D3324">
        <w:rPr>
          <w:sz w:val="26"/>
          <w:szCs w:val="26"/>
        </w:rPr>
        <w:t>.</w:t>
      </w:r>
    </w:p>
    <w:p w:rsidR="00BF3A49" w:rsidRPr="00BF3A49" w:rsidRDefault="00BF3A49" w:rsidP="00BF3A49">
      <w:pPr>
        <w:spacing w:line="360" w:lineRule="auto"/>
        <w:ind w:left="360"/>
        <w:jc w:val="both"/>
        <w:rPr>
          <w:sz w:val="26"/>
          <w:szCs w:val="26"/>
        </w:rPr>
      </w:pPr>
      <w:r>
        <w:rPr>
          <w:noProof/>
          <w:sz w:val="26"/>
          <w:szCs w:val="26"/>
        </w:rPr>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95715" w:rsidRDefault="004E7B8E" w:rsidP="00164470">
      <w:pPr>
        <w:spacing w:after="0" w:line="360" w:lineRule="auto"/>
        <w:jc w:val="both"/>
        <w:rPr>
          <w:sz w:val="26"/>
          <w:szCs w:val="26"/>
        </w:rPr>
      </w:pPr>
      <w:r>
        <w:rPr>
          <w:noProof/>
          <w:sz w:val="26"/>
          <w:szCs w:val="26"/>
        </w:rPr>
        <w:lastRenderedPageBreak/>
        <w:drawing>
          <wp:inline distT="0" distB="0" distL="0" distR="0">
            <wp:extent cx="5943600" cy="639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68F5B6.tmp"/>
                    <pic:cNvPicPr/>
                  </pic:nvPicPr>
                  <pic:blipFill rotWithShape="1">
                    <a:blip r:embed="rId6">
                      <a:extLst>
                        <a:ext uri="{28A0092B-C50C-407E-A947-70E740481C1C}">
                          <a14:useLocalDpi xmlns:a14="http://schemas.microsoft.com/office/drawing/2010/main" val="0"/>
                        </a:ext>
                      </a:extLst>
                    </a:blip>
                    <a:srcRect t="1" b="1439"/>
                    <a:stretch/>
                  </pic:blipFill>
                  <pic:spPr bwMode="auto">
                    <a:xfrm>
                      <a:off x="0" y="0"/>
                      <a:ext cx="5943600" cy="6391275"/>
                    </a:xfrm>
                    <a:prstGeom prst="rect">
                      <a:avLst/>
                    </a:prstGeom>
                    <a:ln>
                      <a:noFill/>
                    </a:ln>
                    <a:extLst>
                      <a:ext uri="{53640926-AAD7-44D8-BBD7-CCE9431645EC}">
                        <a14:shadowObscured xmlns:a14="http://schemas.microsoft.com/office/drawing/2010/main"/>
                      </a:ext>
                    </a:extLst>
                  </pic:spPr>
                </pic:pic>
              </a:graphicData>
            </a:graphic>
          </wp:inline>
        </w:drawing>
      </w:r>
    </w:p>
    <w:p w:rsidR="004E7B8E" w:rsidRDefault="00EC4156" w:rsidP="00164470">
      <w:pPr>
        <w:spacing w:after="0" w:line="360" w:lineRule="auto"/>
        <w:jc w:val="both"/>
        <w:rPr>
          <w:sz w:val="26"/>
          <w:szCs w:val="26"/>
        </w:rPr>
      </w:pPr>
      <w:r>
        <w:rPr>
          <w:sz w:val="26"/>
          <w:szCs w:val="26"/>
        </w:rPr>
        <w:t xml:space="preserve">Nhìn vào hình, có thể nói rằng </w:t>
      </w:r>
      <w:r w:rsidR="005A1F93">
        <w:rPr>
          <w:sz w:val="26"/>
          <w:szCs w:val="26"/>
        </w:rPr>
        <w:t>S độc lập vớ 3 chỉ tiêu còn lại (với mức ý nghĩa p_value&lt;0.05) được trình bày ở bảng sau:</w:t>
      </w:r>
    </w:p>
    <w:tbl>
      <w:tblPr>
        <w:tblStyle w:val="TableGrid"/>
        <w:tblW w:w="0" w:type="auto"/>
        <w:tblLook w:val="04A0" w:firstRow="1" w:lastRow="0" w:firstColumn="1" w:lastColumn="0" w:noHBand="0" w:noVBand="1"/>
      </w:tblPr>
      <w:tblGrid>
        <w:gridCol w:w="1870"/>
        <w:gridCol w:w="1870"/>
        <w:gridCol w:w="1870"/>
        <w:gridCol w:w="1870"/>
        <w:gridCol w:w="1870"/>
      </w:tblGrid>
      <w:tr w:rsidR="000D470D" w:rsidRPr="000D470D" w:rsidTr="000D470D">
        <w:tc>
          <w:tcPr>
            <w:tcW w:w="1870" w:type="dxa"/>
          </w:tcPr>
          <w:p w:rsidR="000D470D" w:rsidRPr="000D470D" w:rsidRDefault="000D470D" w:rsidP="000D470D">
            <w:pPr>
              <w:spacing w:line="360" w:lineRule="auto"/>
              <w:jc w:val="both"/>
              <w:rPr>
                <w:sz w:val="26"/>
                <w:szCs w:val="26"/>
              </w:rPr>
            </w:pPr>
          </w:p>
        </w:tc>
        <w:tc>
          <w:tcPr>
            <w:tcW w:w="1870" w:type="dxa"/>
          </w:tcPr>
          <w:p w:rsidR="000D470D" w:rsidRPr="000D470D" w:rsidRDefault="000D470D" w:rsidP="000D470D">
            <w:pPr>
              <w:spacing w:line="360" w:lineRule="auto"/>
              <w:jc w:val="both"/>
              <w:rPr>
                <w:sz w:val="26"/>
                <w:szCs w:val="26"/>
              </w:rPr>
            </w:pPr>
            <w:r>
              <w:rPr>
                <w:sz w:val="26"/>
                <w:szCs w:val="26"/>
              </w:rPr>
              <w:t>PC1</w:t>
            </w:r>
          </w:p>
        </w:tc>
        <w:tc>
          <w:tcPr>
            <w:tcW w:w="1870" w:type="dxa"/>
          </w:tcPr>
          <w:p w:rsidR="000D470D" w:rsidRPr="000D470D" w:rsidRDefault="000D470D" w:rsidP="000D470D">
            <w:pPr>
              <w:spacing w:line="360" w:lineRule="auto"/>
              <w:jc w:val="both"/>
              <w:rPr>
                <w:sz w:val="26"/>
                <w:szCs w:val="26"/>
              </w:rPr>
            </w:pPr>
            <w:r>
              <w:rPr>
                <w:sz w:val="26"/>
                <w:szCs w:val="26"/>
              </w:rPr>
              <w:t>PC</w:t>
            </w:r>
            <w:r w:rsidRPr="000D470D">
              <w:rPr>
                <w:sz w:val="26"/>
                <w:szCs w:val="26"/>
              </w:rPr>
              <w:t>2</w:t>
            </w:r>
          </w:p>
        </w:tc>
        <w:tc>
          <w:tcPr>
            <w:tcW w:w="1870" w:type="dxa"/>
          </w:tcPr>
          <w:p w:rsidR="000D470D" w:rsidRPr="000D470D" w:rsidRDefault="000D470D" w:rsidP="000D470D">
            <w:pPr>
              <w:spacing w:line="360" w:lineRule="auto"/>
              <w:jc w:val="both"/>
              <w:rPr>
                <w:sz w:val="26"/>
                <w:szCs w:val="26"/>
              </w:rPr>
            </w:pPr>
            <w:r>
              <w:rPr>
                <w:sz w:val="26"/>
                <w:szCs w:val="26"/>
              </w:rPr>
              <w:t>PC</w:t>
            </w:r>
            <w:r w:rsidRPr="000D470D">
              <w:rPr>
                <w:sz w:val="26"/>
                <w:szCs w:val="26"/>
              </w:rPr>
              <w:t>3</w:t>
            </w:r>
          </w:p>
        </w:tc>
        <w:tc>
          <w:tcPr>
            <w:tcW w:w="1870" w:type="dxa"/>
          </w:tcPr>
          <w:p w:rsidR="000D470D" w:rsidRPr="000D470D" w:rsidRDefault="000D470D" w:rsidP="000D470D">
            <w:pPr>
              <w:spacing w:line="360" w:lineRule="auto"/>
              <w:jc w:val="both"/>
              <w:rPr>
                <w:sz w:val="26"/>
                <w:szCs w:val="26"/>
              </w:rPr>
            </w:pPr>
            <w:r>
              <w:rPr>
                <w:sz w:val="26"/>
                <w:szCs w:val="26"/>
              </w:rPr>
              <w:t>PC</w:t>
            </w:r>
            <w:r w:rsidRPr="000D470D">
              <w:rPr>
                <w:sz w:val="26"/>
                <w:szCs w:val="26"/>
              </w:rPr>
              <w:t>4</w:t>
            </w:r>
          </w:p>
        </w:tc>
      </w:tr>
      <w:tr w:rsidR="000D470D" w:rsidRPr="000D470D" w:rsidTr="000D470D">
        <w:tc>
          <w:tcPr>
            <w:tcW w:w="1870" w:type="dxa"/>
          </w:tcPr>
          <w:p w:rsidR="000D470D" w:rsidRPr="000D470D" w:rsidRDefault="000D470D" w:rsidP="00891A73">
            <w:pPr>
              <w:spacing w:line="360" w:lineRule="auto"/>
              <w:jc w:val="both"/>
              <w:rPr>
                <w:sz w:val="26"/>
                <w:szCs w:val="26"/>
              </w:rPr>
            </w:pPr>
            <w:r w:rsidRPr="000D470D">
              <w:rPr>
                <w:sz w:val="26"/>
                <w:szCs w:val="26"/>
              </w:rPr>
              <w:t>R</w:t>
            </w:r>
          </w:p>
        </w:tc>
        <w:tc>
          <w:tcPr>
            <w:tcW w:w="1870" w:type="dxa"/>
          </w:tcPr>
          <w:p w:rsidR="000D470D" w:rsidRPr="000D470D" w:rsidRDefault="000D470D" w:rsidP="00891A73">
            <w:pPr>
              <w:spacing w:line="360" w:lineRule="auto"/>
              <w:jc w:val="both"/>
              <w:rPr>
                <w:sz w:val="26"/>
                <w:szCs w:val="26"/>
              </w:rPr>
            </w:pPr>
            <w:r w:rsidRPr="000D470D">
              <w:rPr>
                <w:sz w:val="26"/>
                <w:szCs w:val="26"/>
              </w:rPr>
              <w:t>0.8239838</w:t>
            </w:r>
          </w:p>
        </w:tc>
        <w:tc>
          <w:tcPr>
            <w:tcW w:w="1870" w:type="dxa"/>
          </w:tcPr>
          <w:p w:rsidR="000D470D" w:rsidRPr="000D470D" w:rsidRDefault="000D470D" w:rsidP="00891A73">
            <w:pPr>
              <w:spacing w:line="360" w:lineRule="auto"/>
              <w:jc w:val="both"/>
              <w:rPr>
                <w:sz w:val="26"/>
                <w:szCs w:val="26"/>
              </w:rPr>
            </w:pPr>
            <w:r w:rsidRPr="000D470D">
              <w:rPr>
                <w:sz w:val="26"/>
                <w:szCs w:val="26"/>
              </w:rPr>
              <w:t>-0.3209429</w:t>
            </w:r>
          </w:p>
        </w:tc>
        <w:tc>
          <w:tcPr>
            <w:tcW w:w="1870" w:type="dxa"/>
          </w:tcPr>
          <w:p w:rsidR="000D470D" w:rsidRPr="000D470D" w:rsidRDefault="000D470D" w:rsidP="00891A73">
            <w:pPr>
              <w:spacing w:line="360" w:lineRule="auto"/>
              <w:jc w:val="both"/>
              <w:rPr>
                <w:sz w:val="26"/>
                <w:szCs w:val="26"/>
              </w:rPr>
            </w:pPr>
            <w:r w:rsidRPr="000D470D">
              <w:rPr>
                <w:sz w:val="26"/>
                <w:szCs w:val="26"/>
              </w:rPr>
              <w:t>0.466954409</w:t>
            </w:r>
          </w:p>
        </w:tc>
        <w:tc>
          <w:tcPr>
            <w:tcW w:w="1870" w:type="dxa"/>
          </w:tcPr>
          <w:p w:rsidR="000D470D" w:rsidRPr="000D470D" w:rsidRDefault="000D470D" w:rsidP="00891A73">
            <w:pPr>
              <w:spacing w:line="360" w:lineRule="auto"/>
              <w:jc w:val="both"/>
              <w:rPr>
                <w:sz w:val="26"/>
                <w:szCs w:val="26"/>
              </w:rPr>
            </w:pPr>
            <w:r w:rsidRPr="000D470D">
              <w:rPr>
                <w:sz w:val="26"/>
                <w:szCs w:val="26"/>
              </w:rPr>
              <w:t>6.475341e-16</w:t>
            </w:r>
          </w:p>
        </w:tc>
      </w:tr>
      <w:tr w:rsidR="000D470D" w:rsidRPr="000D470D" w:rsidTr="000D470D">
        <w:tc>
          <w:tcPr>
            <w:tcW w:w="1870" w:type="dxa"/>
          </w:tcPr>
          <w:p w:rsidR="000D470D" w:rsidRPr="000D470D" w:rsidRDefault="000D470D" w:rsidP="00891A73">
            <w:pPr>
              <w:spacing w:line="360" w:lineRule="auto"/>
              <w:jc w:val="both"/>
              <w:rPr>
                <w:sz w:val="26"/>
                <w:szCs w:val="26"/>
              </w:rPr>
            </w:pPr>
            <w:r w:rsidRPr="000D470D">
              <w:rPr>
                <w:sz w:val="26"/>
                <w:szCs w:val="26"/>
              </w:rPr>
              <w:t>I</w:t>
            </w:r>
          </w:p>
        </w:tc>
        <w:tc>
          <w:tcPr>
            <w:tcW w:w="1870" w:type="dxa"/>
          </w:tcPr>
          <w:p w:rsidR="000D470D" w:rsidRPr="000D470D" w:rsidRDefault="000D470D" w:rsidP="00891A73">
            <w:pPr>
              <w:spacing w:line="360" w:lineRule="auto"/>
              <w:jc w:val="both"/>
              <w:rPr>
                <w:sz w:val="26"/>
                <w:szCs w:val="26"/>
              </w:rPr>
            </w:pPr>
            <w:r w:rsidRPr="000D470D">
              <w:rPr>
                <w:sz w:val="26"/>
                <w:szCs w:val="26"/>
              </w:rPr>
              <w:t>0.6920135</w:t>
            </w:r>
          </w:p>
        </w:tc>
        <w:tc>
          <w:tcPr>
            <w:tcW w:w="1870" w:type="dxa"/>
          </w:tcPr>
          <w:p w:rsidR="000D470D" w:rsidRPr="000D470D" w:rsidRDefault="000D470D" w:rsidP="00891A73">
            <w:pPr>
              <w:spacing w:line="360" w:lineRule="auto"/>
              <w:jc w:val="both"/>
              <w:rPr>
                <w:sz w:val="26"/>
                <w:szCs w:val="26"/>
              </w:rPr>
            </w:pPr>
            <w:r w:rsidRPr="000D470D">
              <w:rPr>
                <w:sz w:val="26"/>
                <w:szCs w:val="26"/>
              </w:rPr>
              <w:t>0.1698996</w:t>
            </w:r>
          </w:p>
        </w:tc>
        <w:tc>
          <w:tcPr>
            <w:tcW w:w="1870" w:type="dxa"/>
          </w:tcPr>
          <w:p w:rsidR="000D470D" w:rsidRPr="000D470D" w:rsidRDefault="000D470D" w:rsidP="00891A73">
            <w:pPr>
              <w:spacing w:line="360" w:lineRule="auto"/>
              <w:jc w:val="both"/>
              <w:rPr>
                <w:sz w:val="26"/>
                <w:szCs w:val="26"/>
              </w:rPr>
            </w:pPr>
            <w:r w:rsidRPr="000D470D">
              <w:rPr>
                <w:sz w:val="26"/>
                <w:szCs w:val="26"/>
              </w:rPr>
              <w:t>-0.701606356</w:t>
            </w:r>
          </w:p>
        </w:tc>
        <w:tc>
          <w:tcPr>
            <w:tcW w:w="1870" w:type="dxa"/>
          </w:tcPr>
          <w:p w:rsidR="000D470D" w:rsidRPr="000D470D" w:rsidRDefault="000D470D" w:rsidP="00891A73">
            <w:pPr>
              <w:spacing w:line="360" w:lineRule="auto"/>
              <w:jc w:val="both"/>
              <w:rPr>
                <w:sz w:val="26"/>
                <w:szCs w:val="26"/>
              </w:rPr>
            </w:pPr>
            <w:r w:rsidRPr="000D470D">
              <w:rPr>
                <w:sz w:val="26"/>
                <w:szCs w:val="26"/>
              </w:rPr>
              <w:t>4.336787e-16</w:t>
            </w:r>
          </w:p>
        </w:tc>
      </w:tr>
      <w:tr w:rsidR="000D470D" w:rsidRPr="000D470D" w:rsidTr="000D470D">
        <w:tc>
          <w:tcPr>
            <w:tcW w:w="1870" w:type="dxa"/>
          </w:tcPr>
          <w:p w:rsidR="000D470D" w:rsidRPr="000D470D" w:rsidRDefault="000D470D" w:rsidP="00891A73">
            <w:pPr>
              <w:spacing w:line="360" w:lineRule="auto"/>
              <w:jc w:val="both"/>
              <w:rPr>
                <w:color w:val="FF0000"/>
                <w:sz w:val="26"/>
                <w:szCs w:val="26"/>
              </w:rPr>
            </w:pPr>
            <w:r w:rsidRPr="000D470D">
              <w:rPr>
                <w:color w:val="FF0000"/>
                <w:sz w:val="26"/>
                <w:szCs w:val="26"/>
              </w:rPr>
              <w:lastRenderedPageBreak/>
              <w:t>S</w:t>
            </w:r>
          </w:p>
        </w:tc>
        <w:tc>
          <w:tcPr>
            <w:tcW w:w="1870" w:type="dxa"/>
          </w:tcPr>
          <w:p w:rsidR="000D470D" w:rsidRPr="000D470D" w:rsidRDefault="000D470D" w:rsidP="00891A73">
            <w:pPr>
              <w:spacing w:line="360" w:lineRule="auto"/>
              <w:jc w:val="both"/>
              <w:rPr>
                <w:color w:val="FF0000"/>
                <w:sz w:val="26"/>
                <w:szCs w:val="26"/>
              </w:rPr>
            </w:pPr>
            <w:r w:rsidRPr="000D470D">
              <w:rPr>
                <w:color w:val="FF0000"/>
                <w:sz w:val="26"/>
                <w:szCs w:val="26"/>
              </w:rPr>
              <w:t>-0.9872987</w:t>
            </w:r>
          </w:p>
        </w:tc>
        <w:tc>
          <w:tcPr>
            <w:tcW w:w="1870" w:type="dxa"/>
          </w:tcPr>
          <w:p w:rsidR="000D470D" w:rsidRPr="000D470D" w:rsidRDefault="000D470D" w:rsidP="00891A73">
            <w:pPr>
              <w:spacing w:line="360" w:lineRule="auto"/>
              <w:jc w:val="both"/>
              <w:rPr>
                <w:color w:val="FF0000"/>
                <w:sz w:val="26"/>
                <w:szCs w:val="26"/>
              </w:rPr>
            </w:pPr>
            <w:r w:rsidRPr="000D470D">
              <w:rPr>
                <w:color w:val="FF0000"/>
                <w:sz w:val="26"/>
                <w:szCs w:val="26"/>
              </w:rPr>
              <w:t>0.1588590</w:t>
            </w:r>
          </w:p>
        </w:tc>
        <w:tc>
          <w:tcPr>
            <w:tcW w:w="1870" w:type="dxa"/>
          </w:tcPr>
          <w:p w:rsidR="000D470D" w:rsidRPr="000D470D" w:rsidRDefault="000D470D" w:rsidP="00891A73">
            <w:pPr>
              <w:spacing w:line="360" w:lineRule="auto"/>
              <w:jc w:val="both"/>
              <w:rPr>
                <w:color w:val="FF0000"/>
                <w:sz w:val="26"/>
                <w:szCs w:val="26"/>
              </w:rPr>
            </w:pPr>
            <w:r w:rsidRPr="000D470D">
              <w:rPr>
                <w:color w:val="FF0000"/>
                <w:sz w:val="26"/>
                <w:szCs w:val="26"/>
              </w:rPr>
              <w:t>0.002253489</w:t>
            </w:r>
          </w:p>
        </w:tc>
        <w:tc>
          <w:tcPr>
            <w:tcW w:w="1870" w:type="dxa"/>
          </w:tcPr>
          <w:p w:rsidR="000D470D" w:rsidRPr="000D470D" w:rsidRDefault="000D470D" w:rsidP="00891A73">
            <w:pPr>
              <w:spacing w:line="360" w:lineRule="auto"/>
              <w:jc w:val="both"/>
              <w:rPr>
                <w:color w:val="FF0000"/>
                <w:sz w:val="26"/>
                <w:szCs w:val="26"/>
              </w:rPr>
            </w:pPr>
            <w:r w:rsidRPr="000D470D">
              <w:rPr>
                <w:color w:val="FF0000"/>
                <w:sz w:val="26"/>
                <w:szCs w:val="26"/>
              </w:rPr>
              <w:t>8.443940e-16</w:t>
            </w:r>
          </w:p>
        </w:tc>
      </w:tr>
      <w:tr w:rsidR="000D470D" w:rsidRPr="000D470D" w:rsidTr="000D470D">
        <w:tc>
          <w:tcPr>
            <w:tcW w:w="1870" w:type="dxa"/>
          </w:tcPr>
          <w:p w:rsidR="000D470D" w:rsidRPr="000D470D" w:rsidRDefault="000D470D" w:rsidP="00891A73">
            <w:pPr>
              <w:spacing w:line="360" w:lineRule="auto"/>
              <w:jc w:val="both"/>
              <w:rPr>
                <w:sz w:val="26"/>
                <w:szCs w:val="26"/>
              </w:rPr>
            </w:pPr>
            <w:r w:rsidRPr="000D470D">
              <w:rPr>
                <w:sz w:val="26"/>
                <w:szCs w:val="26"/>
              </w:rPr>
              <w:t>Biofilm</w:t>
            </w:r>
          </w:p>
        </w:tc>
        <w:tc>
          <w:tcPr>
            <w:tcW w:w="1870" w:type="dxa"/>
          </w:tcPr>
          <w:p w:rsidR="000D470D" w:rsidRPr="000D470D" w:rsidRDefault="000D470D" w:rsidP="00891A73">
            <w:pPr>
              <w:spacing w:line="360" w:lineRule="auto"/>
              <w:jc w:val="both"/>
              <w:rPr>
                <w:sz w:val="26"/>
                <w:szCs w:val="26"/>
              </w:rPr>
            </w:pPr>
            <w:r w:rsidRPr="000D470D">
              <w:rPr>
                <w:sz w:val="26"/>
                <w:szCs w:val="26"/>
              </w:rPr>
              <w:t>0.3411753</w:t>
            </w:r>
          </w:p>
        </w:tc>
        <w:tc>
          <w:tcPr>
            <w:tcW w:w="1870" w:type="dxa"/>
          </w:tcPr>
          <w:p w:rsidR="000D470D" w:rsidRPr="000D470D" w:rsidRDefault="000D470D" w:rsidP="00891A73">
            <w:pPr>
              <w:spacing w:line="360" w:lineRule="auto"/>
              <w:jc w:val="both"/>
              <w:rPr>
                <w:sz w:val="26"/>
                <w:szCs w:val="26"/>
              </w:rPr>
            </w:pPr>
            <w:r w:rsidRPr="000D470D">
              <w:rPr>
                <w:sz w:val="26"/>
                <w:szCs w:val="26"/>
              </w:rPr>
              <w:t>0.8902175</w:t>
            </w:r>
          </w:p>
        </w:tc>
        <w:tc>
          <w:tcPr>
            <w:tcW w:w="1870" w:type="dxa"/>
          </w:tcPr>
          <w:p w:rsidR="000D470D" w:rsidRPr="000D470D" w:rsidRDefault="000D470D" w:rsidP="00891A73">
            <w:pPr>
              <w:spacing w:line="360" w:lineRule="auto"/>
              <w:jc w:val="both"/>
              <w:rPr>
                <w:sz w:val="26"/>
                <w:szCs w:val="26"/>
              </w:rPr>
            </w:pPr>
            <w:r w:rsidRPr="000D470D">
              <w:rPr>
                <w:sz w:val="26"/>
                <w:szCs w:val="26"/>
              </w:rPr>
              <w:t>0.301847970</w:t>
            </w:r>
          </w:p>
        </w:tc>
        <w:tc>
          <w:tcPr>
            <w:tcW w:w="1870" w:type="dxa"/>
          </w:tcPr>
          <w:p w:rsidR="000D470D" w:rsidRPr="000D470D" w:rsidRDefault="000D470D" w:rsidP="00891A73">
            <w:pPr>
              <w:spacing w:line="360" w:lineRule="auto"/>
              <w:jc w:val="both"/>
              <w:rPr>
                <w:sz w:val="26"/>
                <w:szCs w:val="26"/>
              </w:rPr>
            </w:pPr>
            <w:r w:rsidRPr="000D470D">
              <w:rPr>
                <w:sz w:val="26"/>
                <w:szCs w:val="26"/>
              </w:rPr>
              <w:t>-2.391998e-32</w:t>
            </w:r>
          </w:p>
        </w:tc>
      </w:tr>
    </w:tbl>
    <w:p w:rsidR="00164470" w:rsidRDefault="000D470D" w:rsidP="000D470D">
      <w:pPr>
        <w:spacing w:after="0" w:line="360" w:lineRule="auto"/>
        <w:jc w:val="both"/>
        <w:rPr>
          <w:sz w:val="26"/>
          <w:szCs w:val="26"/>
        </w:rPr>
      </w:pPr>
      <w:r>
        <w:rPr>
          <w:sz w:val="26"/>
          <w:szCs w:val="26"/>
        </w:rPr>
        <w:t>Mối tương quan giữa biến (I,S,R,Biofilm)</w:t>
      </w:r>
      <w:r w:rsidRPr="000D470D">
        <w:rPr>
          <w:sz w:val="26"/>
          <w:szCs w:val="26"/>
        </w:rPr>
        <w:t xml:space="preserve"> </w:t>
      </w:r>
      <w:r>
        <w:rPr>
          <w:sz w:val="26"/>
          <w:szCs w:val="26"/>
        </w:rPr>
        <w:t>và thành phần tích lũy</w:t>
      </w:r>
      <w:r w:rsidRPr="000D470D">
        <w:rPr>
          <w:sz w:val="26"/>
          <w:szCs w:val="26"/>
        </w:rPr>
        <w:t xml:space="preserve"> (PC) </w:t>
      </w:r>
      <w:r>
        <w:rPr>
          <w:sz w:val="26"/>
          <w:szCs w:val="26"/>
        </w:rPr>
        <w:t>dùng để xác định số</w:t>
      </w:r>
      <w:r w:rsidR="00F02658">
        <w:rPr>
          <w:sz w:val="26"/>
          <w:szCs w:val="26"/>
        </w:rPr>
        <w:t xml:space="preserve"> nhóm </w:t>
      </w:r>
      <w:r w:rsidRPr="000D470D">
        <w:rPr>
          <w:sz w:val="26"/>
          <w:szCs w:val="26"/>
        </w:rPr>
        <w:t>(Abdi and Williams 2010).</w:t>
      </w:r>
    </w:p>
    <w:p w:rsidR="00F02658" w:rsidRDefault="00F02658" w:rsidP="000D470D">
      <w:pPr>
        <w:spacing w:after="0" w:line="360" w:lineRule="auto"/>
        <w:jc w:val="both"/>
        <w:rPr>
          <w:sz w:val="26"/>
          <w:szCs w:val="26"/>
        </w:rPr>
      </w:pPr>
    </w:p>
    <w:p w:rsidR="00F02658" w:rsidRDefault="00F02658" w:rsidP="000D470D">
      <w:pPr>
        <w:spacing w:after="0" w:line="360" w:lineRule="auto"/>
        <w:jc w:val="both"/>
        <w:rPr>
          <w:sz w:val="26"/>
          <w:szCs w:val="26"/>
        </w:rPr>
      </w:pPr>
      <w:r>
        <w:rPr>
          <w:sz w:val="26"/>
          <w:szCs w:val="26"/>
        </w:rPr>
        <w:t>TLTK</w:t>
      </w:r>
    </w:p>
    <w:p w:rsidR="00F02658" w:rsidRDefault="00F02658" w:rsidP="000D470D">
      <w:pPr>
        <w:spacing w:after="0" w:line="360" w:lineRule="auto"/>
        <w:jc w:val="both"/>
        <w:rPr>
          <w:sz w:val="26"/>
          <w:szCs w:val="26"/>
        </w:rPr>
      </w:pPr>
      <w:r w:rsidRPr="00F02658">
        <w:rPr>
          <w:sz w:val="26"/>
          <w:szCs w:val="26"/>
        </w:rPr>
        <w:t xml:space="preserve">Abdi, Hervé, and Lynne J. Williams. 2010. “Principal Component Analysis.” John Wiley and Sons, Inc. WIREs Comp Stat 2: 433–59. </w:t>
      </w:r>
      <w:hyperlink r:id="rId7" w:history="1">
        <w:r w:rsidRPr="00C251C9">
          <w:rPr>
            <w:rStyle w:val="Hyperlink"/>
            <w:sz w:val="26"/>
            <w:szCs w:val="26"/>
          </w:rPr>
          <w:t>http://staff.ustc.edu.cn/~zwp/teach/MVA/abdi-awPCA2010.pdf</w:t>
        </w:r>
      </w:hyperlink>
      <w:r w:rsidRPr="00F02658">
        <w:rPr>
          <w:sz w:val="26"/>
          <w:szCs w:val="26"/>
        </w:rPr>
        <w:t>.</w:t>
      </w:r>
    </w:p>
    <w:p w:rsidR="00F02658" w:rsidRDefault="00F02658" w:rsidP="000D470D">
      <w:pPr>
        <w:spacing w:after="0" w:line="360" w:lineRule="auto"/>
        <w:jc w:val="both"/>
        <w:rPr>
          <w:sz w:val="26"/>
          <w:szCs w:val="26"/>
        </w:rPr>
      </w:pPr>
      <w:r w:rsidRPr="00F02658">
        <w:rPr>
          <w:sz w:val="26"/>
          <w:szCs w:val="26"/>
        </w:rPr>
        <w:t>Kaiser, Henry F. 1961. “A Note on Guttman’s Lower Bound for the Number of Common Factors.” British Journal of Statistical Psychology 14: 1–2.</w:t>
      </w:r>
    </w:p>
    <w:p w:rsidR="00F02658" w:rsidRPr="00E510F4" w:rsidRDefault="00DA3B41" w:rsidP="00DA3B41">
      <w:pPr>
        <w:spacing w:after="0" w:line="360" w:lineRule="auto"/>
        <w:jc w:val="both"/>
        <w:rPr>
          <w:sz w:val="26"/>
          <w:szCs w:val="26"/>
        </w:rPr>
      </w:pPr>
      <w:r w:rsidRPr="00DA3B41">
        <w:rPr>
          <w:sz w:val="26"/>
          <w:szCs w:val="26"/>
        </w:rPr>
        <w:t>Hotelling, H. (1933). The analysis of complex statistical variables into</w:t>
      </w:r>
      <w:r>
        <w:rPr>
          <w:sz w:val="26"/>
          <w:szCs w:val="26"/>
        </w:rPr>
        <w:t xml:space="preserve"> </w:t>
      </w:r>
      <w:r w:rsidRPr="00DA3B41">
        <w:rPr>
          <w:sz w:val="26"/>
          <w:szCs w:val="26"/>
        </w:rPr>
        <w:t>principal components. Journal of Educational Psychology 24,</w:t>
      </w:r>
      <w:r>
        <w:rPr>
          <w:sz w:val="26"/>
          <w:szCs w:val="26"/>
        </w:rPr>
        <w:t xml:space="preserve"> </w:t>
      </w:r>
      <w:r w:rsidRPr="00DA3B41">
        <w:rPr>
          <w:sz w:val="26"/>
          <w:szCs w:val="26"/>
        </w:rPr>
        <w:t>417–441; 498–520.</w:t>
      </w:r>
    </w:p>
    <w:sectPr w:rsidR="00F02658" w:rsidRPr="00E510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82716B"/>
    <w:multiLevelType w:val="hybridMultilevel"/>
    <w:tmpl w:val="6A28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A79"/>
    <w:rsid w:val="000D470D"/>
    <w:rsid w:val="00116928"/>
    <w:rsid w:val="00164470"/>
    <w:rsid w:val="00226158"/>
    <w:rsid w:val="002D5FD4"/>
    <w:rsid w:val="00383A79"/>
    <w:rsid w:val="003E2EA4"/>
    <w:rsid w:val="004D26B4"/>
    <w:rsid w:val="004E7B8E"/>
    <w:rsid w:val="005A1F93"/>
    <w:rsid w:val="006D3324"/>
    <w:rsid w:val="00716558"/>
    <w:rsid w:val="007B53EA"/>
    <w:rsid w:val="00891B7A"/>
    <w:rsid w:val="008E2124"/>
    <w:rsid w:val="008E703D"/>
    <w:rsid w:val="00A12A56"/>
    <w:rsid w:val="00A23577"/>
    <w:rsid w:val="00BF3A49"/>
    <w:rsid w:val="00C63CAB"/>
    <w:rsid w:val="00D96F51"/>
    <w:rsid w:val="00DA3B41"/>
    <w:rsid w:val="00E510F4"/>
    <w:rsid w:val="00EC4156"/>
    <w:rsid w:val="00F02658"/>
    <w:rsid w:val="00F9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71EB1-5274-4EBC-BA9C-961FAB6F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2A56"/>
    <w:pPr>
      <w:ind w:left="720"/>
      <w:contextualSpacing/>
    </w:pPr>
  </w:style>
  <w:style w:type="character" w:styleId="Hyperlink">
    <w:name w:val="Hyperlink"/>
    <w:basedOn w:val="DefaultParagraphFont"/>
    <w:uiPriority w:val="99"/>
    <w:unhideWhenUsed/>
    <w:rsid w:val="00F026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223520">
      <w:bodyDiv w:val="1"/>
      <w:marLeft w:val="0"/>
      <w:marRight w:val="0"/>
      <w:marTop w:val="0"/>
      <w:marBottom w:val="0"/>
      <w:divBdr>
        <w:top w:val="none" w:sz="0" w:space="0" w:color="auto"/>
        <w:left w:val="none" w:sz="0" w:space="0" w:color="auto"/>
        <w:bottom w:val="none" w:sz="0" w:space="0" w:color="auto"/>
        <w:right w:val="none" w:sz="0" w:space="0" w:color="auto"/>
      </w:divBdr>
    </w:div>
    <w:div w:id="80492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ff.ustc.edu.cn/~zwp/teach/MVA/abdi-awPCA201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Series 1</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PC1</c:v>
                </c:pt>
                <c:pt idx="1">
                  <c:v>PC2</c:v>
                </c:pt>
                <c:pt idx="2">
                  <c:v>PC3</c:v>
                </c:pt>
                <c:pt idx="3">
                  <c:v>PC4</c:v>
                </c:pt>
              </c:strCache>
            </c:strRef>
          </c:cat>
          <c:val>
            <c:numRef>
              <c:f>Sheet1!$B$2:$B$5</c:f>
              <c:numCache>
                <c:formatCode>0.00%</c:formatCode>
                <c:ptCount val="4"/>
                <c:pt idx="0">
                  <c:v>0.56224784999999999</c:v>
                </c:pt>
                <c:pt idx="1">
                  <c:v>0.23739840000000001</c:v>
                </c:pt>
                <c:pt idx="2">
                  <c:v>0.2003538</c:v>
                </c:pt>
                <c:pt idx="3">
                  <c:v>8.9999999999999995E-15</c:v>
                </c:pt>
              </c:numCache>
            </c:numRef>
          </c:val>
          <c:smooth val="0"/>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288322160"/>
        <c:axId val="299152696"/>
      </c:lineChart>
      <c:catAx>
        <c:axId val="28832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Component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9152696"/>
        <c:crossesAt val="0"/>
        <c:auto val="1"/>
        <c:lblAlgn val="ctr"/>
        <c:lblOffset val="100"/>
        <c:noMultiLvlLbl val="0"/>
      </c:catAx>
      <c:valAx>
        <c:axId val="299152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Variance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3221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altera</dc:creator>
  <cp:keywords/>
  <dc:description/>
  <cp:lastModifiedBy> </cp:lastModifiedBy>
  <cp:revision>5</cp:revision>
  <dcterms:created xsi:type="dcterms:W3CDTF">2020-10-21T00:20:00Z</dcterms:created>
  <dcterms:modified xsi:type="dcterms:W3CDTF">2020-10-21T02:26:00Z</dcterms:modified>
</cp:coreProperties>
</file>