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80"/>
        </w:rPr>
        <w:t>UEH-WebSEM</w:t>
      </w:r>
    </w:p>
    <w:p>
      <w:pPr>
        <w:spacing w:after="800"/>
        <w:jc w:val="center"/>
      </w:pPr>
      <w:r>
        <w:rPr>
          <w:sz w:val="36"/>
        </w:rPr>
        <w:t>Sách hướng dẫn sử dụng</w:t>
        <w:br/>
        <w:t>Lý thuyết SEM &amp; Thực hành phân tích PLS-SEM / CB-SEM</w:t>
      </w:r>
    </w:p>
    <w:p>
      <w:pPr>
        <w:jc w:val="center"/>
      </w:pPr>
      <w:r>
        <w:rPr>
          <w:i/>
        </w:rPr>
        <w:t>Tài liệu này trình bày nền tảng lý thuyết Mô hình phương trình cấu trúc (SEM) song song với hướng dẫn thao tác từng bước trên phần mềm UEH-WebSEM, kèm ảnh chụp màn hình thực tế và trích dẫn các nghiên cứu học thuật gốc cho từng chỉ số/kỹ thuật được sử dụng.</w:t>
      </w:r>
    </w:p>
    <w:p>
      <w:pPr>
        <w:pStyle w:val="Heading2"/>
      </w:pPr>
      <w:r>
        <w:t>Mục lục</w:t>
      </w:r>
    </w:p>
    <w:p>
      <w:r>
        <w:fldChar w:fldCharType="begin"/>
        <w:instrText xml:space="preserve">TOC \o "1-3" \h \z \u</w:instrText>
        <w:fldChar w:fldCharType="separate"/>
        <w:t>Nhấn F9 hoặc chuột phải &gt; Update Field để hiển thị Mục lục.</w:t>
        <w:fldChar w:fldCharType="end"/>
      </w:r>
    </w:p>
    <w:p>
      <w:r>
        <w:br w:type="page"/>
      </w:r>
    </w:p>
    <w:p>
      <w:pPr>
        <w:pStyle w:val="Heading1"/>
      </w:pPr>
      <w:r>
        <w:t>PHẦN 0 — GIỚI THIỆU</w:t>
      </w:r>
    </w:p>
    <w:p>
      <w:pPr>
        <w:pStyle w:val="Heading2"/>
      </w:pPr>
      <w:r>
        <w:t>Chương 1. UEH-WebSEM là gì</w:t>
      </w:r>
    </w:p>
    <w:p>
      <w:r>
        <w:rPr>
          <w:b w:val="0"/>
          <w:i w:val="0"/>
        </w:rPr>
        <w:t>UEH-WebSEM là phần mềm phân tích Mô hình phương trình cấu trúc (Structural Equation Modeling — SEM) chạy trên nền web, hỗ trợ đồng thời hai hướng tiếp cận ước lượng phổ biến nhất trong nghiên cứu khoa học xã hội và quản trị kinh doanh: PLS-SEM (Partial Least Squares SEM) và CB-SEM (Covariance-Based SEM). Phần mềm cho phép người dùng tải dữ liệu khảo sát, xây dựng mô hình đo lường và mô hình cấu trúc bằng thao tác kéo-thả trực quan, chạy ước lượng, đọc kết quả kèm diễn giải, và xuất báo cáo — kể cả báo cáo do AI viết — mà không cần cài đặt phần mềm thống kê chuyên dụng hay biết lập trình.</w:t>
      </w:r>
    </w:p>
    <w:p>
      <w:r>
        <w:rPr>
          <w:b w:val="0"/>
          <w:i w:val="0"/>
        </w:rPr>
        <w:t>Ngoài lõi phân tích SEM, phần mềm còn tích hợp các công cụ hỗ trợ nghiên cứu định lượng nâng cao: phân tích độ nhạy theo cỡ mẫu (Sample Size Sensitivity), phân tích lực kiểm định (Power Analysis), so sánh với các thuật toán học máy (Machine Learning Comparison) để đối chiếu mức độ quan trọng của biến, và tính năng sinh báo cáo học thuật bằng AI (OpenAI/Gemini/Claude) sử dụng chính khoá API của người dùng.</w:t>
      </w:r>
    </w:p>
    <w:p>
      <w:r>
        <w:rPr>
          <w:b w:val="0"/>
          <w:i w:val="0"/>
        </w:rPr>
        <w:t>Tài liệu này dành cho: sinh viên, học viên cao học, nghiên cứu sinh và giảng viên đang thực hiện các nghiên cứu định lượng sử dụng SEM, đã có kiến thức nền tảng về phương pháp nghiên cứu nhưng chưa quen thao tác trên phần mềm này.</w:t>
      </w:r>
    </w:p>
    <w:p>
      <w:pPr>
        <w:pStyle w:val="Heading2"/>
      </w:pPr>
      <w:r>
        <w:t>Chương 2. Cài đặt &amp; khởi chạy phần mềm</w:t>
      </w:r>
    </w:p>
    <w:p>
      <w:r>
        <w:rPr>
          <w:b w:val="0"/>
          <w:i w:val="0"/>
        </w:rPr>
        <w:t>UEH-WebSEM có thể chạy theo ba cách, tuỳ vào môi trường sử dụng:</w:t>
      </w:r>
    </w:p>
    <w:p>
      <w:pPr>
        <w:pStyle w:val="ListBullet"/>
      </w:pPr>
      <w:r>
        <w:t>Chạy trực tiếp trên trình duyệt (bản Web): mở terminal tại thư mục dự án, kích hoạt virtual environment rồi chạy app.py (Flask); phần mềm phục vụ tại địa chỉ http://127.0.0.1:5000/.</w:t>
      </w:r>
    </w:p>
    <w:p>
      <w:pPr>
        <w:pStyle w:val="ListBullet"/>
      </w:pPr>
      <w:r>
        <w:t>Chạy bằng Docker: dựng image bằng lệnh 'docker build -t ueh-websem .' rồi khởi chạy container bằng 'docker run -p 5000:5000 ueh-websem' — phù hợp khi triển khai trên máy chủ, không phụ thuộc vào việc máy đó có cài Python hay không.</w:t>
      </w:r>
    </w:p>
    <w:p>
      <w:pPr>
        <w:pStyle w:val="ListBullet"/>
      </w:pPr>
      <w:r>
        <w:t>Chạy bằng file thực thi độc lập (.exe) trên Windows: chạy UEH-WebSEM.exe — chương trình tự khởi động máy chủ cục bộ và mở trình duyệt mặc định, không cần cài Python.</w:t>
      </w:r>
    </w:p>
    <w:p>
      <w:r>
        <w:drawing>
          <wp:inline xmlns:a="http://schemas.openxmlformats.org/drawingml/2006/main" xmlns:pic="http://schemas.openxmlformats.org/drawingml/2006/picture">
            <wp:extent cx="5400000" cy="3750000"/>
            <wp:docPr id="1" name="Picture 1"/>
            <wp:cNvGraphicFramePr>
              <a:graphicFrameLocks noChangeAspect="1"/>
            </wp:cNvGraphicFramePr>
            <a:graphic>
              <a:graphicData uri="http://schemas.openxmlformats.org/drawingml/2006/picture">
                <pic:pic>
                  <pic:nvPicPr>
                    <pic:cNvPr id="0" name="01_home_upload.png"/>
                    <pic:cNvPicPr/>
                  </pic:nvPicPr>
                  <pic:blipFill>
                    <a:blip r:embed="rId9"/>
                    <a:stretch>
                      <a:fillRect/>
                    </a:stretch>
                  </pic:blipFill>
                  <pic:spPr>
                    <a:xfrm>
                      <a:off x="0" y="0"/>
                      <a:ext cx="5400000" cy="3750000"/>
                    </a:xfrm>
                    <a:prstGeom prst="rect"/>
                  </pic:spPr>
                </pic:pic>
              </a:graphicData>
            </a:graphic>
          </wp:inline>
        </w:drawing>
      </w:r>
    </w:p>
    <w:p>
      <w:pPr>
        <w:spacing w:after="280"/>
        <w:jc w:val="center"/>
      </w:pPr>
      <w:r>
        <w:rPr>
          <w:i/>
          <w:sz w:val="20"/>
        </w:rPr>
        <w:t>Hình 2.1: Giao diện trang chủ UEH-WebSEM khi vừa khởi động, sẵn sàng tải dữ liệu.</w:t>
      </w:r>
    </w:p>
    <w:p>
      <w:r>
        <w:br w:type="page"/>
      </w:r>
    </w:p>
    <w:p>
      <w:pPr>
        <w:pStyle w:val="Heading1"/>
      </w:pPr>
      <w:r>
        <w:t>PHẦN 1 — NỀN TẢNG LÝ THUYẾT SEM</w:t>
      </w:r>
    </w:p>
    <w:p>
      <w:pPr>
        <w:pStyle w:val="Heading2"/>
      </w:pPr>
      <w:r>
        <w:t>Chương 3. SEM là gì? PLS-SEM và CB-SEM</w:t>
      </w:r>
    </w:p>
    <w:p>
      <w:r>
        <w:rPr>
          <w:b w:val="0"/>
          <w:i w:val="0"/>
        </w:rPr>
        <w:t>Mô hình phương trình cấu trúc (SEM) là một họ kỹ thuật thống kê đa biến cho phép kiểm định đồng thời nhiều mối quan hệ giữa các biến tiềm ẩn (latent variable/construct) — những khái niệm không đo lường trực tiếp được (ví dụ: sự hài lòng, ý định hành vi) mà phải suy ra từ các biến quan sát (indicator/item) trong bảng khảo sát. SEM kết hợp hai công cụ truyền thống: phân tích nhân tố khẳng định (CFA) để đánh giá mô hình đo lường, và hồi quy đa biến để kiểm định mô hình cấu trúc (Kline, 2016).</w:t>
      </w:r>
    </w:p>
    <w:p>
      <w:r>
        <w:rPr>
          <w:b w:val="0"/>
          <w:i w:val="0"/>
        </w:rPr>
        <w:t>Có hai hướng ước lượng SEM khác biệt về mặt toán học và mục tiêu sử dụng. CB-SEM (Covariance-Based SEM), thực hiện qua ước lượng hợp lý cực đại (Maximum Likelihood), tìm bộ tham số sao cho ma trận hiệp phương sai được mô hình dự đoán khớp nhất với ma trận hiệp phương sai quan sát được — phù hợp khi mục tiêu là KIỂM ĐỊNH một lý thuyết/mô hình đã được thiết lập chặt chẽ (theory testing) và dữ liệu gần với phân phối chuẩn đa biến. PLS-SEM (Partial Least Squares SEM), thực hiện qua thuật toán bình phương tối thiểu từng phần lặp, tối đa hoá phương sai giải thích được (R²) của các biến nội sinh — phù hợp khi mục tiêu là DỰ BÁO và khám phá lý thuyết (theory development/prediction), cỡ mẫu nhỏ, dữ liệu không chuẩn, hoặc mô hình có cấu trúc phức tạp (Hair và cộng sự, 2022; Chin, 1998).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Tiêu chí</w:t>
            </w:r>
          </w:p>
        </w:tc>
        <w:tc>
          <w:tcPr>
            <w:tcW w:type="dxa" w:w="2880"/>
          </w:tcPr>
          <w:p>
            <w:r>
              <w:rPr>
                <w:b/>
              </w:rPr>
              <w:t>PLS-SEM</w:t>
            </w:r>
          </w:p>
        </w:tc>
        <w:tc>
          <w:tcPr>
            <w:tcW w:type="dxa" w:w="2880"/>
          </w:tcPr>
          <w:p>
            <w:r>
              <w:rPr>
                <w:b/>
              </w:rPr>
              <w:t>CB-SEM</w:t>
            </w:r>
          </w:p>
        </w:tc>
      </w:tr>
      <w:tr>
        <w:tc>
          <w:tcPr>
            <w:tcW w:type="dxa" w:w="2880"/>
          </w:tcPr>
          <w:p>
            <w:r>
              <w:t>Mục tiêu chính</w:t>
            </w:r>
          </w:p>
        </w:tc>
        <w:tc>
          <w:tcPr>
            <w:tcW w:type="dxa" w:w="2880"/>
          </w:tcPr>
          <w:p>
            <w:r>
              <w:t>Dự báo, tối đa hoá R²</w:t>
            </w:r>
          </w:p>
        </w:tc>
        <w:tc>
          <w:tcPr>
            <w:tcW w:type="dxa" w:w="2880"/>
          </w:tcPr>
          <w:p>
            <w:r>
              <w:t>Kiểm định lý thuyết, độ khớp mô hình</w:t>
            </w:r>
          </w:p>
        </w:tc>
      </w:tr>
      <w:tr>
        <w:tc>
          <w:tcPr>
            <w:tcW w:type="dxa" w:w="2880"/>
          </w:tcPr>
          <w:p>
            <w:r>
              <w:t>Giả định phân phối</w:t>
            </w:r>
          </w:p>
        </w:tc>
        <w:tc>
          <w:tcPr>
            <w:tcW w:type="dxa" w:w="2880"/>
          </w:tcPr>
          <w:p>
            <w:r>
              <w:t>Không yêu cầu chuẩn đa biến</w:t>
            </w:r>
          </w:p>
        </w:tc>
        <w:tc>
          <w:tcPr>
            <w:tcW w:type="dxa" w:w="2880"/>
          </w:tcPr>
          <w:p>
            <w:r>
              <w:t>Yêu cầu gần chuẩn đa biến</w:t>
            </w:r>
          </w:p>
        </w:tc>
      </w:tr>
      <w:tr>
        <w:tc>
          <w:tcPr>
            <w:tcW w:type="dxa" w:w="2880"/>
          </w:tcPr>
          <w:p>
            <w:r>
              <w:t>Cỡ mẫu tối thiểu</w:t>
            </w:r>
          </w:p>
        </w:tc>
        <w:tc>
          <w:tcPr>
            <w:tcW w:type="dxa" w:w="2880"/>
          </w:tcPr>
          <w:p>
            <w:r>
              <w:t>Có thể nhỏ (tham khảo quy tắc 10 lần)</w:t>
            </w:r>
          </w:p>
        </w:tc>
        <w:tc>
          <w:tcPr>
            <w:tcW w:type="dxa" w:w="2880"/>
          </w:tcPr>
          <w:p>
            <w:r>
              <w:t>Thường cần lớn hơn (&gt;150-200)</w:t>
            </w:r>
          </w:p>
        </w:tc>
      </w:tr>
      <w:tr>
        <w:tc>
          <w:tcPr>
            <w:tcW w:type="dxa" w:w="2880"/>
          </w:tcPr>
          <w:p>
            <w:r>
              <w:t>Chỉ số đánh giá</w:t>
            </w:r>
          </w:p>
        </w:tc>
        <w:tc>
          <w:tcPr>
            <w:tcW w:type="dxa" w:w="2880"/>
          </w:tcPr>
          <w:p>
            <w:r>
              <w:t>R², Q², f², bootstrapping</w:t>
            </w:r>
          </w:p>
        </w:tc>
        <w:tc>
          <w:tcPr>
            <w:tcW w:type="dxa" w:w="2880"/>
          </w:tcPr>
          <w:p>
            <w:r>
              <w:t>Chi-square, CFI, TLI, RMSEA, SRMR</w:t>
            </w:r>
          </w:p>
        </w:tc>
      </w:tr>
      <w:tr>
        <w:tc>
          <w:tcPr>
            <w:tcW w:type="dxa" w:w="2880"/>
          </w:tcPr>
          <w:p>
            <w:r>
              <w:t>Loại construct</w:t>
            </w:r>
          </w:p>
        </w:tc>
        <w:tc>
          <w:tcPr>
            <w:tcW w:type="dxa" w:w="2880"/>
          </w:tcPr>
          <w:p>
            <w:r>
              <w:t>Hỗ trợ tốt cả reflective &amp; formative</w:t>
            </w:r>
          </w:p>
        </w:tc>
        <w:tc>
          <w:tcPr>
            <w:tcW w:type="dxa" w:w="2880"/>
          </w:tcPr>
          <w:p>
            <w:r>
              <w:t>Chủ yếu reflective</w:t>
            </w:r>
          </w:p>
        </w:tc>
      </w:tr>
      <w:tr>
        <w:tc>
          <w:tcPr>
            <w:tcW w:type="dxa" w:w="2880"/>
          </w:tcPr>
          <w:p>
            <w:r>
              <w:t>Phần mềm tham chiếu</w:t>
            </w:r>
          </w:p>
        </w:tc>
        <w:tc>
          <w:tcPr>
            <w:tcW w:type="dxa" w:w="2880"/>
          </w:tcPr>
          <w:p>
            <w:r>
              <w:t>SmartPLS, WarpPLS</w:t>
            </w:r>
          </w:p>
        </w:tc>
        <w:tc>
          <w:tcPr>
            <w:tcW w:type="dxa" w:w="2880"/>
          </w:tcPr>
          <w:p>
            <w:r>
              <w:t>AMOS, LISREL, Mplus</w:t>
            </w:r>
          </w:p>
        </w:tc>
      </w:tr>
    </w:tbl>
    <w:p>
      <w:pPr>
        <w:spacing w:after="120"/>
      </w:pPr>
    </w:p>
    <w:p>
      <w:r>
        <w:rPr>
          <w:b w:val="0"/>
          <w:i w:val="0"/>
        </w:rPr>
        <w:t>Reinartz, Haenlein và Henseler (2009) đã so sánh thực nghiệm hiệu quả của hai phương pháp và kết luận rằng lựa chọn nên dựa trên mục tiêu nghiên cứu và đặc điểm dữ liệu hơn là ưu tiên tuyệt đối một phương pháp. UEH-WebSEM cho phép chạy CẢ HAI phương pháp trên cùng một mô hình đã xây dựng, giúp người dùng đối chiếu kết quả khi cần.</w:t>
      </w:r>
    </w:p>
    <w:p>
      <w:pPr>
        <w:pStyle w:val="Heading2"/>
      </w:pPr>
      <w:r>
        <w:t>Chương 4. Construct, Indicator, mô hình đo lường &amp; mô hình cấu trúc</w:t>
      </w:r>
    </w:p>
    <w:p>
      <w:r>
        <w:rPr>
          <w:b w:val="0"/>
          <w:i w:val="0"/>
        </w:rPr>
        <w:t>Một mô hình SEM luôn gồm hai lớp: (1) Mô hình đo lường (measurement model / outer model) mô tả quan hệ giữa mỗi construct và các indicator (biến quan sát/item khảo sát) đo lường nó; (2) Mô hình cấu trúc (structural model / inner model) mô tả quan hệ nhân quả giả thuyết giữa các construct với nhau.</w:t>
      </w:r>
    </w:p>
    <w:p>
      <w:r>
        <w:rPr>
          <w:b w:val="0"/>
          <w:i w:val="0"/>
        </w:rPr>
        <w:t>Mô hình đo lường có hai dạng: Reflective (phản ánh) — các indicator là biểu hiện/kết quả của construct, có tương quan cao với nhau, đổi indicator không đổi ý nghĩa construct (ví dụ: các câu hỏi đo 'sự hài lòng'); và Formative (hình thành) — các indicator là thành phần CẤU THÀNH nên construct, không nhất thiết tương quan, bỏ một indicator có thể làm thay đổi ý nghĩa construct (ví dụ: chỉ số kinh tế tổng hợp từ nhiều thành phần độc lập). Việc xác định đúng loại mô hình đo lường quyết định bộ tiêu chí đánh giá sẽ áp dụng ở Chương 10-11 (Hair và cộng sự, 2022).</w:t>
      </w:r>
    </w:p>
    <w:p>
      <w:r>
        <w:rPr>
          <w:b w:val="0"/>
          <w:i w:val="0"/>
        </w:rPr>
        <w:t>UEH-WebSEM hiện hỗ trợ đầy đủ bộ tiêu chí đánh giá cho mô hình đo lường reflective — loại phổ biến nhất trong nghiên cứu hành vi/quản trị.</w:t>
      </w:r>
    </w:p>
    <w:p>
      <w:pPr>
        <w:pStyle w:val="Heading2"/>
      </w:pPr>
      <w:r>
        <w:t>Chương 5. Quy trình đánh giá mô hình PLS-SEM chuẩn</w:t>
      </w:r>
    </w:p>
    <w:p>
      <w:r>
        <w:rPr>
          <w:b w:val="0"/>
          <w:i w:val="0"/>
        </w:rPr>
        <w:t>Hair và cộng sự (2022, 2019) đề xuất quy trình đánh giá kết quả PLS-SEM theo hai bước tuần tự bắt buộc: Bước 1 — đánh giá mô hình đo lường (độ tin cậy, giá trị hội tụ, giá trị phân biệt); chỉ khi mô hình đo lường đạt yêu cầu mới chuyển sang Bước 2 — đánh giá mô hình cấu trúc (đa cộng tuyến, hệ số đường dẫn, R², f², Q²). UEH-WebSEM trình bày kết quả đúng theo trình tự này để người dùng đọc báo cáo theo đúng logic học thuật, tránh diễn giải hệ số đường dẫn khi thang đo chưa đạt độ tin cậy/giá trị.</w:t>
      </w:r>
    </w:p>
    <w:p>
      <w:r>
        <w:br w:type="page"/>
      </w:r>
    </w:p>
    <w:p>
      <w:pPr>
        <w:pStyle w:val="Heading1"/>
      </w:pPr>
      <w:r>
        <w:t>PHẦN 2 — CHUẨN BỊ &amp; XÂY DỰNG MÔ HÌNH</w:t>
      </w:r>
    </w:p>
    <w:p>
      <w:pPr>
        <w:pStyle w:val="Heading2"/>
      </w:pPr>
      <w:r>
        <w:t>Chương 6. Chuẩn bị file dữ liệu khảo sát</w:t>
      </w:r>
    </w:p>
    <w:p>
      <w:r>
        <w:rPr>
          <w:b w:val="0"/>
          <w:i w:val="0"/>
        </w:rPr>
        <w:t>File dữ liệu đầu vào là Excel (.xlsx) hoặc CSV, mỗi dòng là một quan sát (một người trả lời), mỗi cột là một indicator/item. Dòng đầu tiên là tên biến (nên đặt ngắn gọn, không dấu, không khoảng trắng — ví dụ PU1, PU2, PEOU1...). Dữ liệu phải là dạng số (thang đo Likert đã mã hoá); các dòng có giá trị thiếu (missing) nên được xử lý trước khi tải lên.</w:t>
      </w:r>
    </w:p>
    <w:p>
      <w:pPr>
        <w:pStyle w:val="Heading2"/>
      </w:pPr>
      <w:r>
        <w:t>Chương 7. Tải dữ liệu lên &amp; xem trước</w:t>
      </w:r>
    </w:p>
    <w:p>
      <w:r>
        <w:rPr>
          <w:b w:val="0"/>
          <w:i w:val="0"/>
        </w:rPr>
        <w:t>Trên trang chủ, người dùng kéo-thả hoặc chọn file dữ liệu, hoặc bấm nút 'Dùng dữ liệu mẫu' để dùng ngay bộ dữ liệu minh hoạ (mô hình TAM — Technology Acceptance Model) đi kèm phần mềm nhằm làm quen giao diện. Sau khi tải, phần mềm hiển thị bảng xem trước (preview) để kiểm tra dữ liệu đã đọc đúng cột/định dạng số.</w:t>
      </w:r>
    </w:p>
    <w:p>
      <w:r>
        <w:drawing>
          <wp:inline xmlns:a="http://schemas.openxmlformats.org/drawingml/2006/main" xmlns:pic="http://schemas.openxmlformats.org/drawingml/2006/picture">
            <wp:extent cx="5400000" cy="3750000"/>
            <wp:docPr id="2" name="Picture 2"/>
            <wp:cNvGraphicFramePr>
              <a:graphicFrameLocks noChangeAspect="1"/>
            </wp:cNvGraphicFramePr>
            <a:graphic>
              <a:graphicData uri="http://schemas.openxmlformats.org/drawingml/2006/picture">
                <pic:pic>
                  <pic:nvPicPr>
                    <pic:cNvPr id="0" name="02_preview_table.png"/>
                    <pic:cNvPicPr/>
                  </pic:nvPicPr>
                  <pic:blipFill>
                    <a:blip r:embed="rId10"/>
                    <a:stretch>
                      <a:fillRect/>
                    </a:stretch>
                  </pic:blipFill>
                  <pic:spPr>
                    <a:xfrm>
                      <a:off x="0" y="0"/>
                      <a:ext cx="5400000" cy="3750000"/>
                    </a:xfrm>
                    <a:prstGeom prst="rect"/>
                  </pic:spPr>
                </pic:pic>
              </a:graphicData>
            </a:graphic>
          </wp:inline>
        </w:drawing>
      </w:r>
    </w:p>
    <w:p>
      <w:pPr>
        <w:spacing w:after="280"/>
        <w:jc w:val="center"/>
      </w:pPr>
      <w:r>
        <w:rPr>
          <w:i/>
          <w:sz w:val="20"/>
        </w:rPr>
        <w:t>Hình 7.1: Giao diện ngay sau khi tải bộ dữ liệu mẫu TAM.</w:t>
      </w:r>
    </w:p>
    <w:p>
      <w:pPr>
        <w:pStyle w:val="Heading2"/>
      </w:pPr>
      <w:r>
        <w:t>Chương 8. Xây dựng mô hình</w:t>
      </w:r>
    </w:p>
    <w:p>
      <w:r>
        <w:rPr>
          <w:b w:val="0"/>
          <w:i w:val="0"/>
        </w:rPr>
        <w:t>UEH-WebSEM cung cấp một canvas trực quan để xây dựng mô hình: bấm '+ Construct' để thêm một biến tiềm ẩn, gán các indicator (cột dữ liệu) tương ứng, rồi kéo đường nối giữa hai construct để biểu diễn một giả thuyết đường dẫn cấu trúc (structural path). Biến điều tiết (moderator) được thêm bằng cách gán một construct đóng vai trò điều tiết lên một đường dẫn có sẵn — phần mềm tự tạo số hạng tương tác (interaction term) theo phương pháp tích hai biến đã chuẩn hoá (mean-centering), đúng khuyến nghị của Aiken và West (1991).</w:t>
      </w:r>
    </w:p>
    <w:p>
      <w:r>
        <w:drawing>
          <wp:inline xmlns:a="http://schemas.openxmlformats.org/drawingml/2006/main" xmlns:pic="http://schemas.openxmlformats.org/drawingml/2006/picture">
            <wp:extent cx="5400000" cy="3031034"/>
            <wp:docPr id="3" name="Picture 3"/>
            <wp:cNvGraphicFramePr>
              <a:graphicFrameLocks noChangeAspect="1"/>
            </wp:cNvGraphicFramePr>
            <a:graphic>
              <a:graphicData uri="http://schemas.openxmlformats.org/drawingml/2006/picture">
                <pic:pic>
                  <pic:nvPicPr>
                    <pic:cNvPr id="0" name="03_model_canvas.png"/>
                    <pic:cNvPicPr/>
                  </pic:nvPicPr>
                  <pic:blipFill>
                    <a:blip r:embed="rId11"/>
                    <a:stretch>
                      <a:fillRect/>
                    </a:stretch>
                  </pic:blipFill>
                  <pic:spPr>
                    <a:xfrm>
                      <a:off x="0" y="0"/>
                      <a:ext cx="5400000" cy="3031034"/>
                    </a:xfrm>
                    <a:prstGeom prst="rect"/>
                  </pic:spPr>
                </pic:pic>
              </a:graphicData>
            </a:graphic>
          </wp:inline>
        </w:drawing>
      </w:r>
    </w:p>
    <w:p>
      <w:pPr>
        <w:spacing w:after="280"/>
        <w:jc w:val="center"/>
      </w:pPr>
      <w:r>
        <w:rPr>
          <w:i/>
          <w:sz w:val="20"/>
        </w:rPr>
        <w:t>Hình 8.1: Canvas xây dựng mô hình — nơi thêm construct và vẽ đường dẫn cấu trúc.</w:t>
      </w:r>
    </w:p>
    <w:p>
      <w:r>
        <w:drawing>
          <wp:inline xmlns:a="http://schemas.openxmlformats.org/drawingml/2006/main" xmlns:pic="http://schemas.openxmlformats.org/drawingml/2006/picture">
            <wp:extent cx="5400000" cy="13698000"/>
            <wp:docPr id="4" name="Picture 4"/>
            <wp:cNvGraphicFramePr>
              <a:graphicFrameLocks noChangeAspect="1"/>
            </wp:cNvGraphicFramePr>
            <a:graphic>
              <a:graphicData uri="http://schemas.openxmlformats.org/drawingml/2006/picture">
                <pic:pic>
                  <pic:nvPicPr>
                    <pic:cNvPr id="0" name="04_construct_panel.png"/>
                    <pic:cNvPicPr/>
                  </pic:nvPicPr>
                  <pic:blipFill>
                    <a:blip r:embed="rId12"/>
                    <a:stretch>
                      <a:fillRect/>
                    </a:stretch>
                  </pic:blipFill>
                  <pic:spPr>
                    <a:xfrm>
                      <a:off x="0" y="0"/>
                      <a:ext cx="5400000" cy="13698000"/>
                    </a:xfrm>
                    <a:prstGeom prst="rect"/>
                  </pic:spPr>
                </pic:pic>
              </a:graphicData>
            </a:graphic>
          </wp:inline>
        </w:drawing>
      </w:r>
    </w:p>
    <w:p>
      <w:pPr>
        <w:spacing w:after="280"/>
        <w:jc w:val="center"/>
      </w:pPr>
      <w:r>
        <w:rPr>
          <w:i/>
          <w:sz w:val="20"/>
        </w:rPr>
        <w:t>Hình 8.2: Bảng thuộc tính Construct — gán indicator cho từng biến tiềm ẩn.</w:t>
      </w:r>
    </w:p>
    <w:p>
      <w:pPr>
        <w:pStyle w:val="Heading2"/>
      </w:pPr>
      <w:r>
        <w:t>Chương 9. Chọn phương pháp ước lượng &amp; cấu hình Bootstrapping</w:t>
      </w:r>
    </w:p>
    <w:p>
      <w:r>
        <w:rPr>
          <w:b w:val="0"/>
          <w:i w:val="0"/>
        </w:rPr>
        <w:t>Vì PLS-SEM không giả định phân phối, việc kiểm định ý nghĩa thống kê (p-value) của hệ số đường dẫn không dùng công thức giải tích như hồi quy OLS mà dùng kỹ thuật lấy mẫu lại Bootstrapping — lấy lại mẫu có hoàn lại (resampling with replacement) nhiều nghìn lần từ dữ liệu gốc để ước lượng phân phối chuẩn sai (standard error) và khoảng tin cậy của từng hệ số (Preacher &amp; Hayes, 2008; Hair và cộng sự, 2022). Số lần lặp lại (subsamples) khuyến nghị tối thiểu 5.000; UEH-WebSEM mặc định cho phép chọn từ 100 đến vài nghìn lần tuỳ nhu cầu tốc độ/độ chính xác. Với CB-SEM, sai số chuẩn/giá trị p đã được tính sẵn theo lý thuyết hợp lý cực đại (Maximum Likelihood), không cần bootstrapping.</w:t>
      </w:r>
    </w:p>
    <w:p>
      <w:r>
        <w:drawing>
          <wp:inline xmlns:a="http://schemas.openxmlformats.org/drawingml/2006/main" xmlns:pic="http://schemas.openxmlformats.org/drawingml/2006/picture">
            <wp:extent cx="5400000" cy="4527068"/>
            <wp:docPr id="5" name="Picture 5"/>
            <wp:cNvGraphicFramePr>
              <a:graphicFrameLocks noChangeAspect="1"/>
            </wp:cNvGraphicFramePr>
            <a:graphic>
              <a:graphicData uri="http://schemas.openxmlformats.org/drawingml/2006/picture">
                <pic:pic>
                  <pic:nvPicPr>
                    <pic:cNvPr id="0" name="05_bootstrap_section.png"/>
                    <pic:cNvPicPr/>
                  </pic:nvPicPr>
                  <pic:blipFill>
                    <a:blip r:embed="rId13"/>
                    <a:stretch>
                      <a:fillRect/>
                    </a:stretch>
                  </pic:blipFill>
                  <pic:spPr>
                    <a:xfrm>
                      <a:off x="0" y="0"/>
                      <a:ext cx="5400000" cy="4527068"/>
                    </a:xfrm>
                    <a:prstGeom prst="rect"/>
                  </pic:spPr>
                </pic:pic>
              </a:graphicData>
            </a:graphic>
          </wp:inline>
        </w:drawing>
      </w:r>
    </w:p>
    <w:p>
      <w:pPr>
        <w:spacing w:after="280"/>
        <w:jc w:val="center"/>
      </w:pPr>
      <w:r>
        <w:rPr>
          <w:i/>
          <w:sz w:val="20"/>
        </w:rPr>
        <w:t>Hình 9.1: Chọn phương pháp ước lượng (PLS-SEM/CB-SEM) và cấu hình Bootstrapping.</w:t>
      </w:r>
    </w:p>
    <w:p>
      <w:r>
        <w:br w:type="page"/>
      </w:r>
    </w:p>
    <w:p>
      <w:pPr>
        <w:pStyle w:val="Heading1"/>
      </w:pPr>
      <w:r>
        <w:t>PHẦN 3 — PHÂN TÍCH PLS-SEM: LÝ THUYẾT &amp; ĐỌC KẾT QUẢ</w:t>
      </w:r>
    </w:p>
    <w:p>
      <w:pPr>
        <w:pStyle w:val="Heading2"/>
      </w:pPr>
      <w:r>
        <w:t>Chương 10. Đánh giá mô hình đo lường Reflective</w:t>
      </w:r>
    </w:p>
    <w:p>
      <w:pPr>
        <w:pStyle w:val="Heading3"/>
      </w:pPr>
      <w:r>
        <w:t>10.1. Độ tin cậy nhất quán nội bộ</w:t>
      </w:r>
    </w:p>
    <w:p>
      <w:r>
        <w:rPr>
          <w:b w:val="0"/>
          <w:i w:val="0"/>
        </w:rPr>
        <w:t>Ba chỉ số thường dùng: Cronbach's Alpha (giả định các indicator có trọng số bằng nhau — cách tính cổ điển, có xu hướng đánh giá thấp độ tin cậy thực); Composite Reliability — CR (cho trọng số theo outer loading thực tế, phù hợp với logic PLS hơn); và rho_A (chỉ số trung gian giữa hai loại trên, được Dijkstra và Henseler đề xuất). Ngưỡng chấp nhận phổ biến: 0.70-0.95 được xem là tốt; trên 0.95 có thể cho thấy các indicator quá tương đồng (redundancy), làm giảm giá trị nội dung (Hair và cộng sự, 2022).</w:t>
      </w:r>
    </w:p>
    <w:p>
      <w:pPr>
        <w:pStyle w:val="Heading3"/>
      </w:pPr>
      <w:r>
        <w:t>10.2. Giá trị hội tụ (Convergent Validity)</w:t>
      </w:r>
    </w:p>
    <w:p>
      <w:r>
        <w:rPr>
          <w:b w:val="0"/>
          <w:i w:val="0"/>
        </w:rPr>
        <w:t>Đo bằng Average Variance Extracted (AVE) — phần trăm phương sai trung bình mà construct giải thích được từ các indicator của nó so với phần phương sai do sai số đo lường. Ngưỡng chấp nhận: AVE ≥ 0.50, nghĩa là construct giải thích được ít nhất 50% phương sai của các indicator (Fornell &amp; Larcker, 1981). Đồng thời, từng Outer Loading (hệ số tải ngoài) nên ≥ 0.708 (tương đương indicator giải thích được ≥ 50% phương sai của chính nó).</w:t>
      </w:r>
    </w:p>
    <w:p>
      <w:r>
        <w:drawing>
          <wp:inline xmlns:a="http://schemas.openxmlformats.org/drawingml/2006/main" xmlns:pic="http://schemas.openxmlformats.org/drawingml/2006/picture">
            <wp:extent cx="5400000" cy="6224336"/>
            <wp:docPr id="6" name="Picture 6"/>
            <wp:cNvGraphicFramePr>
              <a:graphicFrameLocks noChangeAspect="1"/>
            </wp:cNvGraphicFramePr>
            <a:graphic>
              <a:graphicData uri="http://schemas.openxmlformats.org/drawingml/2006/picture">
                <pic:pic>
                  <pic:nvPicPr>
                    <pic:cNvPr id="0" name="07_reliability_table.png"/>
                    <pic:cNvPicPr/>
                  </pic:nvPicPr>
                  <pic:blipFill>
                    <a:blip r:embed="rId14"/>
                    <a:stretch>
                      <a:fillRect/>
                    </a:stretch>
                  </pic:blipFill>
                  <pic:spPr>
                    <a:xfrm>
                      <a:off x="0" y="0"/>
                      <a:ext cx="5400000" cy="6224336"/>
                    </a:xfrm>
                    <a:prstGeom prst="rect"/>
                  </pic:spPr>
                </pic:pic>
              </a:graphicData>
            </a:graphic>
          </wp:inline>
        </w:drawing>
      </w:r>
    </w:p>
    <w:p>
      <w:pPr>
        <w:spacing w:after="280"/>
        <w:jc w:val="center"/>
      </w:pPr>
      <w:r>
        <w:rPr>
          <w:i/>
          <w:sz w:val="20"/>
        </w:rPr>
        <w:t>Hình 10.1: Bảng độ tin cậy &amp; giá trị hội tụ do UEH-WebSEM tính toán.</w:t>
      </w:r>
    </w:p>
    <w:p>
      <w:r>
        <w:drawing>
          <wp:inline xmlns:a="http://schemas.openxmlformats.org/drawingml/2006/main" xmlns:pic="http://schemas.openxmlformats.org/drawingml/2006/picture">
            <wp:extent cx="5400000" cy="6224336"/>
            <wp:docPr id="7" name="Picture 7"/>
            <wp:cNvGraphicFramePr>
              <a:graphicFrameLocks noChangeAspect="1"/>
            </wp:cNvGraphicFramePr>
            <a:graphic>
              <a:graphicData uri="http://schemas.openxmlformats.org/drawingml/2006/picture">
                <pic:pic>
                  <pic:nvPicPr>
                    <pic:cNvPr id="0" name="08_outer_loadings.png"/>
                    <pic:cNvPicPr/>
                  </pic:nvPicPr>
                  <pic:blipFill>
                    <a:blip r:embed="rId15"/>
                    <a:stretch>
                      <a:fillRect/>
                    </a:stretch>
                  </pic:blipFill>
                  <pic:spPr>
                    <a:xfrm>
                      <a:off x="0" y="0"/>
                      <a:ext cx="5400000" cy="6224336"/>
                    </a:xfrm>
                    <a:prstGeom prst="rect"/>
                  </pic:spPr>
                </pic:pic>
              </a:graphicData>
            </a:graphic>
          </wp:inline>
        </w:drawing>
      </w:r>
    </w:p>
    <w:p>
      <w:pPr>
        <w:spacing w:after="280"/>
        <w:jc w:val="center"/>
      </w:pPr>
      <w:r>
        <w:rPr>
          <w:i/>
          <w:sz w:val="20"/>
        </w:rPr>
        <w:t>Hình 10.2: Bảng hệ số tải ngoài (Outer Loadings) của từng indicator.</w:t>
      </w:r>
    </w:p>
    <w:p>
      <w:pPr>
        <w:pStyle w:val="Heading3"/>
      </w:pPr>
      <w:r>
        <w:t>10.3. Cross Loadings</w:t>
      </w:r>
    </w:p>
    <w:p>
      <w:r>
        <w:rPr>
          <w:b w:val="0"/>
          <w:i w:val="0"/>
        </w:rPr>
        <w:t>Bảng Cross Loadings đối chiếu hệ số tải của mỗi indicator lên TẤT CẢ các construct (không chỉ construct mà nó thuộc về). Một indicator hợp lệ phải có hệ số tải lên construct của chính nó CAO HƠN hệ số tải lên bất kỳ construct nào khác — đây là kiểm tra sơ bộ về giá trị phân biệt ở cấp độ indicator (Chin, 1998).</w:t>
      </w:r>
    </w:p>
    <w:p>
      <w:r>
        <w:drawing>
          <wp:inline xmlns:a="http://schemas.openxmlformats.org/drawingml/2006/main" xmlns:pic="http://schemas.openxmlformats.org/drawingml/2006/picture">
            <wp:extent cx="5400000" cy="6224336"/>
            <wp:docPr id="8" name="Picture 8"/>
            <wp:cNvGraphicFramePr>
              <a:graphicFrameLocks noChangeAspect="1"/>
            </wp:cNvGraphicFramePr>
            <a:graphic>
              <a:graphicData uri="http://schemas.openxmlformats.org/drawingml/2006/picture">
                <pic:pic>
                  <pic:nvPicPr>
                    <pic:cNvPr id="0" name="09_cross_loadings.png"/>
                    <pic:cNvPicPr/>
                  </pic:nvPicPr>
                  <pic:blipFill>
                    <a:blip r:embed="rId16"/>
                    <a:stretch>
                      <a:fillRect/>
                    </a:stretch>
                  </pic:blipFill>
                  <pic:spPr>
                    <a:xfrm>
                      <a:off x="0" y="0"/>
                      <a:ext cx="5400000" cy="6224336"/>
                    </a:xfrm>
                    <a:prstGeom prst="rect"/>
                  </pic:spPr>
                </pic:pic>
              </a:graphicData>
            </a:graphic>
          </wp:inline>
        </w:drawing>
      </w:r>
    </w:p>
    <w:p>
      <w:pPr>
        <w:spacing w:after="280"/>
        <w:jc w:val="center"/>
      </w:pPr>
      <w:r>
        <w:rPr>
          <w:i/>
          <w:sz w:val="20"/>
        </w:rPr>
        <w:t>Hình 10.3: Bảng Cross Loadings.</w:t>
      </w:r>
    </w:p>
    <w:p>
      <w:pPr>
        <w:pStyle w:val="Heading2"/>
      </w:pPr>
      <w:r>
        <w:t>Chương 11. Giá trị phân biệt: Fornell-Larcker &amp; HTMT</w:t>
      </w:r>
    </w:p>
    <w:p>
      <w:r>
        <w:rPr>
          <w:b w:val="0"/>
          <w:i w:val="0"/>
        </w:rPr>
        <w:t>Giá trị phân biệt (discriminant validity) đánh giá mức độ các construct THỰC SỰ khác biệt nhau về mặt thống kê, không đo trùng một khái niệm. Tiêu chí Fornell-Larcker (1981) so sánh căn bậc hai của AVE mỗi construct với hệ số tương quan giữa construct đó và các construct khác — căn AVE phải LỚN HƠN mọi hệ số tương quan liên quan. Tuy nhiên, các nghiên cứu mô phỏng của Henseler, Ringle và Sarstedt (2015) cho thấy tiêu chí này thiếu độ nhạy khi phát hiện thiếu giá trị phân biệt trong nhiều tình huống thực tế, và đề xuất chỉ số HTMT (Heterotrait-Monotrait Ratio of Correlations) thay thế: tỷ số giữa tương quan trung bình của các indicator khác construct (heterotrait) với tương quan trung bình của các indicator cùng construct (monotrait). Ngưỡng khuyến nghị: HTMT &lt; 0.90 (với các construct về mặt lý thuyết tương đối gần nhau) hoặc nghiêm ngặt hơn &lt; 0.85.</w:t>
      </w:r>
    </w:p>
    <w:p>
      <w:r>
        <w:drawing>
          <wp:inline xmlns:a="http://schemas.openxmlformats.org/drawingml/2006/main" xmlns:pic="http://schemas.openxmlformats.org/drawingml/2006/picture">
            <wp:extent cx="5400000" cy="3918584"/>
            <wp:docPr id="9" name="Picture 9"/>
            <wp:cNvGraphicFramePr>
              <a:graphicFrameLocks noChangeAspect="1"/>
            </wp:cNvGraphicFramePr>
            <a:graphic>
              <a:graphicData uri="http://schemas.openxmlformats.org/drawingml/2006/picture">
                <pic:pic>
                  <pic:nvPicPr>
                    <pic:cNvPr id="0" name="10_fornell_larcker.png"/>
                    <pic:cNvPicPr/>
                  </pic:nvPicPr>
                  <pic:blipFill>
                    <a:blip r:embed="rId17"/>
                    <a:stretch>
                      <a:fillRect/>
                    </a:stretch>
                  </pic:blipFill>
                  <pic:spPr>
                    <a:xfrm>
                      <a:off x="0" y="0"/>
                      <a:ext cx="5400000" cy="3918584"/>
                    </a:xfrm>
                    <a:prstGeom prst="rect"/>
                  </pic:spPr>
                </pic:pic>
              </a:graphicData>
            </a:graphic>
          </wp:inline>
        </w:drawing>
      </w:r>
    </w:p>
    <w:p>
      <w:pPr>
        <w:spacing w:after="280"/>
        <w:jc w:val="center"/>
      </w:pPr>
      <w:r>
        <w:rPr>
          <w:i/>
          <w:sz w:val="20"/>
        </w:rPr>
        <w:t>Hình 11.1: Bảng Fornell-Larcker.</w:t>
      </w:r>
    </w:p>
    <w:p>
      <w:r>
        <w:drawing>
          <wp:inline xmlns:a="http://schemas.openxmlformats.org/drawingml/2006/main" xmlns:pic="http://schemas.openxmlformats.org/drawingml/2006/picture">
            <wp:extent cx="5400000" cy="3918584"/>
            <wp:docPr id="10" name="Picture 10"/>
            <wp:cNvGraphicFramePr>
              <a:graphicFrameLocks noChangeAspect="1"/>
            </wp:cNvGraphicFramePr>
            <a:graphic>
              <a:graphicData uri="http://schemas.openxmlformats.org/drawingml/2006/picture">
                <pic:pic>
                  <pic:nvPicPr>
                    <pic:cNvPr id="0" name="11_htmt_table.png"/>
                    <pic:cNvPicPr/>
                  </pic:nvPicPr>
                  <pic:blipFill>
                    <a:blip r:embed="rId18"/>
                    <a:stretch>
                      <a:fillRect/>
                    </a:stretch>
                  </pic:blipFill>
                  <pic:spPr>
                    <a:xfrm>
                      <a:off x="0" y="0"/>
                      <a:ext cx="5400000" cy="3918584"/>
                    </a:xfrm>
                    <a:prstGeom prst="rect"/>
                  </pic:spPr>
                </pic:pic>
              </a:graphicData>
            </a:graphic>
          </wp:inline>
        </w:drawing>
      </w:r>
    </w:p>
    <w:p>
      <w:pPr>
        <w:spacing w:after="280"/>
        <w:jc w:val="center"/>
      </w:pPr>
      <w:r>
        <w:rPr>
          <w:i/>
          <w:sz w:val="20"/>
        </w:rPr>
        <w:t>Hình 11.2: Bảng HTMT (có thang màu heatmap hỗ trợ đọc nhanh).</w:t>
      </w:r>
    </w:p>
    <w:p>
      <w:pPr>
        <w:pStyle w:val="Heading2"/>
      </w:pPr>
      <w:r>
        <w:t>Chương 12. Mô hình cấu trúc: Path Coefficients, f² và VIF</w:t>
      </w:r>
    </w:p>
    <w:p>
      <w:r>
        <w:rPr>
          <w:b w:val="0"/>
          <w:i w:val="0"/>
        </w:rPr>
        <w:t>Hệ số đường dẫn (path coefficient, β) thể hiện cường độ và chiều tác động giả thuyết giữa hai construct, dao động thường trong khoảng -1 đến +1; ý nghĩa thống kê được xác định qua p-value/khoảng tin cậy từ bootstrapping (Chương 9). Hệ số f² (effect size) đo mức đóng góp riêng của một biến độc lập vào R² của biến phụ thuộc khi loại biến đó khỏi mô hình — Cohen (1988) đề xuất ngưỡng tham khảo: 0.02 (nhỏ), 0.15 (trung bình), 0.35 (lớn).</w:t>
      </w:r>
    </w:p>
    <w:p>
      <w:r>
        <w:rPr>
          <w:b w:val="0"/>
          <w:i w:val="0"/>
        </w:rPr>
        <w:t>Trước khi diễn giải hệ số đường dẫn, cần kiểm tra đa cộng tuyến cấu trúc (structural collinearity) qua chỉ số VIF (Variance Inflation Factor) của từng biến độc lập trong mô hình cấu trúc. VIF cao (thường dùng ngưỡng &gt; 5, một số tác giả dùng &gt; 3.3) cho thấy các biến độc lập tương quan quá cao với nhau, làm hệ số đường dẫn trở nên không ổn định/khó diễn giải (Hair và cộng sự, 2019).</w:t>
      </w:r>
    </w:p>
    <w:p>
      <w:r>
        <w:drawing>
          <wp:inline xmlns:a="http://schemas.openxmlformats.org/drawingml/2006/main" xmlns:pic="http://schemas.openxmlformats.org/drawingml/2006/picture">
            <wp:extent cx="5400000" cy="3918584"/>
            <wp:docPr id="11" name="Picture 11"/>
            <wp:cNvGraphicFramePr>
              <a:graphicFrameLocks noChangeAspect="1"/>
            </wp:cNvGraphicFramePr>
            <a:graphic>
              <a:graphicData uri="http://schemas.openxmlformats.org/drawingml/2006/picture">
                <pic:pic>
                  <pic:nvPicPr>
                    <pic:cNvPr id="0" name="12_path_coefficients.png"/>
                    <pic:cNvPicPr/>
                  </pic:nvPicPr>
                  <pic:blipFill>
                    <a:blip r:embed="rId19"/>
                    <a:stretch>
                      <a:fillRect/>
                    </a:stretch>
                  </pic:blipFill>
                  <pic:spPr>
                    <a:xfrm>
                      <a:off x="0" y="0"/>
                      <a:ext cx="5400000" cy="3918584"/>
                    </a:xfrm>
                    <a:prstGeom prst="rect"/>
                  </pic:spPr>
                </pic:pic>
              </a:graphicData>
            </a:graphic>
          </wp:inline>
        </w:drawing>
      </w:r>
    </w:p>
    <w:p>
      <w:pPr>
        <w:spacing w:after="280"/>
        <w:jc w:val="center"/>
      </w:pPr>
      <w:r>
        <w:rPr>
          <w:i/>
          <w:sz w:val="20"/>
        </w:rPr>
        <w:t>Hình 12.1: Bảng Path Coefficients &amp; f².</w:t>
      </w:r>
    </w:p>
    <w:p>
      <w:r>
        <w:drawing>
          <wp:inline xmlns:a="http://schemas.openxmlformats.org/drawingml/2006/main" xmlns:pic="http://schemas.openxmlformats.org/drawingml/2006/picture">
            <wp:extent cx="5400000" cy="3739381"/>
            <wp:docPr id="12" name="Picture 12"/>
            <wp:cNvGraphicFramePr>
              <a:graphicFrameLocks noChangeAspect="1"/>
            </wp:cNvGraphicFramePr>
            <a:graphic>
              <a:graphicData uri="http://schemas.openxmlformats.org/drawingml/2006/picture">
                <pic:pic>
                  <pic:nvPicPr>
                    <pic:cNvPr id="0" name="16_vif_table.png"/>
                    <pic:cNvPicPr/>
                  </pic:nvPicPr>
                  <pic:blipFill>
                    <a:blip r:embed="rId20"/>
                    <a:stretch>
                      <a:fillRect/>
                    </a:stretch>
                  </pic:blipFill>
                  <pic:spPr>
                    <a:xfrm>
                      <a:off x="0" y="0"/>
                      <a:ext cx="5400000" cy="3739381"/>
                    </a:xfrm>
                    <a:prstGeom prst="rect"/>
                  </pic:spPr>
                </pic:pic>
              </a:graphicData>
            </a:graphic>
          </wp:inline>
        </w:drawing>
      </w:r>
    </w:p>
    <w:p>
      <w:pPr>
        <w:spacing w:after="280"/>
        <w:jc w:val="center"/>
      </w:pPr>
      <w:r>
        <w:rPr>
          <w:i/>
          <w:sz w:val="20"/>
        </w:rPr>
        <w:t>Hình 12.2: Bảng VIF — đa cộng tuyến mô hình cấu trúc.</w:t>
      </w:r>
    </w:p>
    <w:p>
      <w:pPr>
        <w:pStyle w:val="Heading2"/>
      </w:pPr>
      <w:r>
        <w:t>Chương 13. Common Method Bias — Full Collinearity Test</w:t>
      </w:r>
    </w:p>
    <w:p>
      <w:r>
        <w:rPr>
          <w:b w:val="0"/>
          <w:i w:val="0"/>
        </w:rPr>
        <w:t>Common Method Bias (CMB, hay Common Method Variance) là sai lệch hệ thống phát sinh khi dữ liệu biến độc lập và biến phụ thuộc được thu thập từ CÙNG một nguồn, cùng một thời điểm, cùng một phương pháp (ví dụ: bảng hỏi tự điền một lần) — có thể làm phóng đại tương quan quan sát được giữa các biến một cách giả tạo (Podsakoff, MacKenzie, Lee, &amp; Podsakoff, 2003). Kock (2015) đề xuất kỹ thuật Full Collinearity Test: hồi quy mỗi construct lên một biến giả ngẫu nhiên chung, sau đó tính VIF; nếu TẤT CẢ VIF ≤ 3.3, xem như dữ liệu không có dấu hiệu CMB nghiêm trọng — đây là phương pháp kiểm tra hậu kỳ thay thế cho kiểm định Harman's single-factor vốn có nhiều hạn chế. UEH-WebSEM tự động tính chỉ số này cho toàn bộ construct trong mô hình.</w:t>
      </w:r>
    </w:p>
    <w:p>
      <w:r>
        <w:drawing>
          <wp:inline xmlns:a="http://schemas.openxmlformats.org/drawingml/2006/main" xmlns:pic="http://schemas.openxmlformats.org/drawingml/2006/picture">
            <wp:extent cx="5400000" cy="3739381"/>
            <wp:docPr id="13" name="Picture 13"/>
            <wp:cNvGraphicFramePr>
              <a:graphicFrameLocks noChangeAspect="1"/>
            </wp:cNvGraphicFramePr>
            <a:graphic>
              <a:graphicData uri="http://schemas.openxmlformats.org/drawingml/2006/picture">
                <pic:pic>
                  <pic:nvPicPr>
                    <pic:cNvPr id="0" name="17_cmb_table.png"/>
                    <pic:cNvPicPr/>
                  </pic:nvPicPr>
                  <pic:blipFill>
                    <a:blip r:embed="rId21"/>
                    <a:stretch>
                      <a:fillRect/>
                    </a:stretch>
                  </pic:blipFill>
                  <pic:spPr>
                    <a:xfrm>
                      <a:off x="0" y="0"/>
                      <a:ext cx="5400000" cy="3739381"/>
                    </a:xfrm>
                    <a:prstGeom prst="rect"/>
                  </pic:spPr>
                </pic:pic>
              </a:graphicData>
            </a:graphic>
          </wp:inline>
        </w:drawing>
      </w:r>
    </w:p>
    <w:p>
      <w:pPr>
        <w:spacing w:after="280"/>
        <w:jc w:val="center"/>
      </w:pPr>
      <w:r>
        <w:rPr>
          <w:i/>
          <w:sz w:val="20"/>
        </w:rPr>
        <w:t>Hình 13.1: Bảng Common Method Bias — Full Collinearity Test.</w:t>
      </w:r>
    </w:p>
    <w:p>
      <w:pPr>
        <w:pStyle w:val="Heading2"/>
      </w:pPr>
      <w:r>
        <w:t>Chương 14. Kiểm định Mediation (Trung gian)</w:t>
      </w:r>
    </w:p>
    <w:p>
      <w:r>
        <w:rPr>
          <w:b w:val="0"/>
          <w:i w:val="0"/>
        </w:rPr>
        <w:t>Một biến trung gian (mediator, M) giải thích CƠ CHẾ mà qua đó biến độc lập (X) tác động lên biến phụ thuộc (Y): X → M → Y. Kiểm định mediation hiện đại (Preacher &amp; Hayes, 2008; Hayes, 2018) không còn dùng phương pháp từng bước Baron &amp; Kenny (1986) mà kiểm định trực tiếp hiệu ứng gián tiếp (indirect effect = tích các hệ số đường dẫn thành phần) có khác 0 có ý nghĩa thống kê hay không, qua khoảng tin cậy bootstrap (không chứa số 0 → có ý nghĩa). Total Effect = Direct Effect + Indirect Effect. Nếu Direct Effect (X→Y khi kiểm soát M) không còn ý nghĩa: trung gian toàn phần (full mediation); nếu vẫn có ý nghĩa nhưng giảm: trung gian một phần (partial mediation).</w:t>
      </w:r>
    </w:p>
    <w:p>
      <w:r>
        <w:drawing>
          <wp:inline xmlns:a="http://schemas.openxmlformats.org/drawingml/2006/main" xmlns:pic="http://schemas.openxmlformats.org/drawingml/2006/picture">
            <wp:extent cx="5400000" cy="4444248"/>
            <wp:docPr id="14" name="Picture 14"/>
            <wp:cNvGraphicFramePr>
              <a:graphicFrameLocks noChangeAspect="1"/>
            </wp:cNvGraphicFramePr>
            <a:graphic>
              <a:graphicData uri="http://schemas.openxmlformats.org/drawingml/2006/picture">
                <pic:pic>
                  <pic:nvPicPr>
                    <pic:cNvPr id="0" name="13_total_indirect_effects.png"/>
                    <pic:cNvPicPr/>
                  </pic:nvPicPr>
                  <pic:blipFill>
                    <a:blip r:embed="rId22"/>
                    <a:stretch>
                      <a:fillRect/>
                    </a:stretch>
                  </pic:blipFill>
                  <pic:spPr>
                    <a:xfrm>
                      <a:off x="0" y="0"/>
                      <a:ext cx="5400000" cy="4444248"/>
                    </a:xfrm>
                    <a:prstGeom prst="rect"/>
                  </pic:spPr>
                </pic:pic>
              </a:graphicData>
            </a:graphic>
          </wp:inline>
        </w:drawing>
      </w:r>
    </w:p>
    <w:p>
      <w:pPr>
        <w:spacing w:after="280"/>
        <w:jc w:val="center"/>
      </w:pPr>
      <w:r>
        <w:rPr>
          <w:i/>
          <w:sz w:val="20"/>
        </w:rPr>
        <w:t>Hình 14.1: Bảng Total &amp; Indirect Effects.</w:t>
      </w:r>
    </w:p>
    <w:p>
      <w:r>
        <w:rPr>
          <w:b w:val="0"/>
          <w:i w:val="0"/>
        </w:rPr>
        <w:t>Khi mô hình có nhiều đường trung gian song song hoặc nối tiếp, bảng Specific Indirect Effects tách riêng từng con đường gián tiếp cụ thể để kiểm định độc lập từng cơ chế giả thuyết.</w:t>
      </w:r>
    </w:p>
    <w:p>
      <w:r>
        <w:drawing>
          <wp:inline xmlns:a="http://schemas.openxmlformats.org/drawingml/2006/main" xmlns:pic="http://schemas.openxmlformats.org/drawingml/2006/picture">
            <wp:extent cx="5400000" cy="4061947"/>
            <wp:docPr id="15" name="Picture 15"/>
            <wp:cNvGraphicFramePr>
              <a:graphicFrameLocks noChangeAspect="1"/>
            </wp:cNvGraphicFramePr>
            <a:graphic>
              <a:graphicData uri="http://schemas.openxmlformats.org/drawingml/2006/picture">
                <pic:pic>
                  <pic:nvPicPr>
                    <pic:cNvPr id="0" name="13b_specific_indirect_effects.png"/>
                    <pic:cNvPicPr/>
                  </pic:nvPicPr>
                  <pic:blipFill>
                    <a:blip r:embed="rId23"/>
                    <a:stretch>
                      <a:fillRect/>
                    </a:stretch>
                  </pic:blipFill>
                  <pic:spPr>
                    <a:xfrm>
                      <a:off x="0" y="0"/>
                      <a:ext cx="5400000" cy="4061947"/>
                    </a:xfrm>
                    <a:prstGeom prst="rect"/>
                  </pic:spPr>
                </pic:pic>
              </a:graphicData>
            </a:graphic>
          </wp:inline>
        </w:drawing>
      </w:r>
    </w:p>
    <w:p>
      <w:pPr>
        <w:spacing w:after="280"/>
        <w:jc w:val="center"/>
      </w:pPr>
      <w:r>
        <w:rPr>
          <w:i/>
          <w:sz w:val="20"/>
        </w:rPr>
        <w:t>Hình 14.2: Bảng Specific Indirect Effects.</w:t>
      </w:r>
    </w:p>
    <w:p>
      <w:pPr>
        <w:pStyle w:val="Heading2"/>
      </w:pPr>
      <w:r>
        <w:t>Chương 15. Kiểm định Moderation &amp; Moderated Mediation</w:t>
      </w:r>
    </w:p>
    <w:p>
      <w:r>
        <w:rPr>
          <w:b w:val="0"/>
          <w:i w:val="0"/>
        </w:rPr>
        <w:t>Biến điều tiết (moderator, W) làm thay đổi CƯỜNG ĐỘ hoặc CHIỀU của quan hệ X→Y tuỳ theo giá trị của W (khác với mediator vốn giải thích cơ chế). Về mặt kỹ thuật, số hạng tương tác X×W được thêm vào mô hình sau khi mean-centering hai biến gốc để giảm đa cộng tuyến giả tạo (Aiken &amp; West, 1991). Simple Slopes Analysis trực quan hoá hiệu ứng điều tiết bằng cách vẽ ba đường hồi quy X→Y ứng với ba mức của W: trung bình, thấp (-1 độ lệch chuẩn) và cao (+1 độ lệch chuẩn) — nếu ba đường có độ dốc khác nhau rõ rệt, hiệu ứng điều tiết được minh hoạ trực quan.</w:t>
      </w:r>
    </w:p>
    <w:p>
      <w:r>
        <w:drawing>
          <wp:inline xmlns:a="http://schemas.openxmlformats.org/drawingml/2006/main" xmlns:pic="http://schemas.openxmlformats.org/drawingml/2006/picture">
            <wp:extent cx="5400000" cy="1810730"/>
            <wp:docPr id="16" name="Picture 16"/>
            <wp:cNvGraphicFramePr>
              <a:graphicFrameLocks noChangeAspect="1"/>
            </wp:cNvGraphicFramePr>
            <a:graphic>
              <a:graphicData uri="http://schemas.openxmlformats.org/drawingml/2006/picture">
                <pic:pic>
                  <pic:nvPicPr>
                    <pic:cNvPr id="0" name="14b_simple_slopes.png"/>
                    <pic:cNvPicPr/>
                  </pic:nvPicPr>
                  <pic:blipFill>
                    <a:blip r:embed="rId24"/>
                    <a:stretch>
                      <a:fillRect/>
                    </a:stretch>
                  </pic:blipFill>
                  <pic:spPr>
                    <a:xfrm>
                      <a:off x="0" y="0"/>
                      <a:ext cx="5400000" cy="1810730"/>
                    </a:xfrm>
                    <a:prstGeom prst="rect"/>
                  </pic:spPr>
                </pic:pic>
              </a:graphicData>
            </a:graphic>
          </wp:inline>
        </w:drawing>
      </w:r>
    </w:p>
    <w:p>
      <w:pPr>
        <w:spacing w:after="280"/>
        <w:jc w:val="center"/>
      </w:pPr>
      <w:r>
        <w:rPr>
          <w:i/>
          <w:sz w:val="20"/>
        </w:rPr>
        <w:t>Hình 15.1: Biểu đồ Simple Slopes minh hoạ hiệu ứng điều tiết.</w:t>
      </w:r>
    </w:p>
    <w:p>
      <w:r>
        <w:rPr>
          <w:b w:val="0"/>
          <w:i w:val="0"/>
        </w:rPr>
        <w:t>Khi biến điều tiết tác động lên MỘT ĐƯỜNG TRONG CHUỖI trung gian (ví dụ điều tiết đường M→Y), ta có mô hình Moderated Mediation (trung gian có điều kiện). Hayes (2015) đề xuất Index of Moderated Mediation — một chỉ số kiểm định trực tiếp xem hiệu ứng gián tiếp có thay đổi có ý nghĩa thống kê theo giá trị biến điều tiết hay không, thay vì phải so sánh thủ công hiệu ứng gián tiếp ở nhiều mức W khác nhau. Chỉ số này khác 0 có ý nghĩa (khoảng tin cậy bootstrap không chứa 0) cho thấy có moderated mediation thực sự.</w:t>
      </w:r>
    </w:p>
    <w:p>
      <w:r>
        <w:rPr>
          <w:b w:val="0"/>
          <w:i/>
        </w:rPr>
        <w:t>Bảng Index of Moderated Mediation chỉ xuất hiện khi mô hình có một biến điều tiết tác động trực tiếp lên MỘT ĐƯỜNG TRONG CHUỖI trung gian (ví dụ điều tiết đường M→Y) — với mô hình chỉ có điều tiết trực tiếp lên X→Y (không lồng vào chuỗi trung gian), phần mềm sẽ không hiển thị bảng này vì không có hiệu ứng trung gian có điều kiện để kiểm định.</w:t>
      </w:r>
    </w:p>
    <w:p>
      <w:pPr>
        <w:pStyle w:val="Heading2"/>
      </w:pPr>
      <w:r>
        <w:t>Chương 16. Bootstrapping &amp; ý nghĩa thống kê</w:t>
      </w:r>
    </w:p>
    <w:p>
      <w:r>
        <w:rPr>
          <w:b w:val="0"/>
          <w:i w:val="0"/>
        </w:rPr>
        <w:t>Phần Phân phối Bootstrap trực quan hoá phân phối của từng hệ số đường dẫn qua hàng nghìn lần lấy mẫu lại — giúp người dùng thấy trực tiếp độ phân tán và hình dạng phân phối đằng sau con số p-value, thay vì chỉ đọc một con số tĩnh.</w:t>
      </w:r>
    </w:p>
    <w:p>
      <w:r>
        <w:drawing>
          <wp:inline xmlns:a="http://schemas.openxmlformats.org/drawingml/2006/main" xmlns:pic="http://schemas.openxmlformats.org/drawingml/2006/picture">
            <wp:extent cx="5400000" cy="1881466"/>
            <wp:docPr id="17" name="Picture 17"/>
            <wp:cNvGraphicFramePr>
              <a:graphicFrameLocks noChangeAspect="1"/>
            </wp:cNvGraphicFramePr>
            <a:graphic>
              <a:graphicData uri="http://schemas.openxmlformats.org/drawingml/2006/picture">
                <pic:pic>
                  <pic:nvPicPr>
                    <pic:cNvPr id="0" name="18_bootstrap_distribution.png"/>
                    <pic:cNvPicPr/>
                  </pic:nvPicPr>
                  <pic:blipFill>
                    <a:blip r:embed="rId25"/>
                    <a:stretch>
                      <a:fillRect/>
                    </a:stretch>
                  </pic:blipFill>
                  <pic:spPr>
                    <a:xfrm>
                      <a:off x="0" y="0"/>
                      <a:ext cx="5400000" cy="1881466"/>
                    </a:xfrm>
                    <a:prstGeom prst="rect"/>
                  </pic:spPr>
                </pic:pic>
              </a:graphicData>
            </a:graphic>
          </wp:inline>
        </w:drawing>
      </w:r>
    </w:p>
    <w:p>
      <w:pPr>
        <w:spacing w:after="280"/>
        <w:jc w:val="center"/>
      </w:pPr>
      <w:r>
        <w:rPr>
          <w:i/>
          <w:sz w:val="20"/>
        </w:rPr>
        <w:t>Hình 16.1: Phân phối Bootstrap của các hệ số đường dẫn.</w:t>
      </w:r>
    </w:p>
    <w:p>
      <w:pPr>
        <w:pStyle w:val="Heading2"/>
      </w:pPr>
      <w:r>
        <w:t>Chương 17. R² và Q² — Đánh giá năng lực giải thích &amp; dự báo trong mẫu</w:t>
      </w:r>
    </w:p>
    <w:p>
      <w:r>
        <w:rPr>
          <w:b w:val="0"/>
          <w:i w:val="0"/>
        </w:rPr>
        <w:t>R² (hệ số xác định) đo phần trăm phương sai của một biến nội sinh được giải thích bởi các biến độc lập tác động trực tiếp lên nó. Ngưỡng tham khảo trong nghiên cứu hành vi: 0.75 (đáng kể), 0.50 (trung bình), 0.25 (yếu) (Hair và cộng sự, 2022). Q² (Stone-Geisser) đo năng lực dự báo NGOÀI MẪU trong-mẫu (in-sample predictive relevance) qua thủ tục blindfolding: Q² &gt; 0 cho thấy mô hình có giá trị dự báo với biến nội sinh đó; Q² ≤ 0 cho thấy không.</w:t>
      </w:r>
    </w:p>
    <w:p>
      <w:r>
        <w:drawing>
          <wp:inline xmlns:a="http://schemas.openxmlformats.org/drawingml/2006/main" xmlns:pic="http://schemas.openxmlformats.org/drawingml/2006/picture">
            <wp:extent cx="5400000" cy="4444248"/>
            <wp:docPr id="18" name="Picture 18"/>
            <wp:cNvGraphicFramePr>
              <a:graphicFrameLocks noChangeAspect="1"/>
            </wp:cNvGraphicFramePr>
            <a:graphic>
              <a:graphicData uri="http://schemas.openxmlformats.org/drawingml/2006/picture">
                <pic:pic>
                  <pic:nvPicPr>
                    <pic:cNvPr id="0" name="15_r2_q2.png"/>
                    <pic:cNvPicPr/>
                  </pic:nvPicPr>
                  <pic:blipFill>
                    <a:blip r:embed="rId26"/>
                    <a:stretch>
                      <a:fillRect/>
                    </a:stretch>
                  </pic:blipFill>
                  <pic:spPr>
                    <a:xfrm>
                      <a:off x="0" y="0"/>
                      <a:ext cx="5400000" cy="4444248"/>
                    </a:xfrm>
                    <a:prstGeom prst="rect"/>
                  </pic:spPr>
                </pic:pic>
              </a:graphicData>
            </a:graphic>
          </wp:inline>
        </w:drawing>
      </w:r>
    </w:p>
    <w:p>
      <w:pPr>
        <w:spacing w:after="280"/>
        <w:jc w:val="center"/>
      </w:pPr>
      <w:r>
        <w:rPr>
          <w:i/>
          <w:sz w:val="20"/>
        </w:rPr>
        <w:t>Hình 17.1: Bảng R² &amp; Q² của các biến nội sinh.</w:t>
      </w:r>
    </w:p>
    <w:p>
      <w:pPr>
        <w:pStyle w:val="Heading2"/>
      </w:pPr>
      <w:r>
        <w:t>Chương 18. Sơ đồ đường dẫn kết quả (Path Diagram)</w:t>
      </w:r>
    </w:p>
    <w:p>
      <w:r>
        <w:rPr>
          <w:b w:val="0"/>
          <w:i w:val="0"/>
        </w:rPr>
        <w:t>Sơ đồ đường dẫn tổng hợp trực quan toàn bộ mô hình: construct, indicator, outer loading, hệ số đường dẫn, R² — là hình ảnh thường dùng nhất khi trình bày kết quả trong luận văn/bài báo. UEH-WebSEM vẽ sơ đồ này tự động ngay sau khi chạy phân tích và cho phép xuất ảnh trực tiếp.</w:t>
      </w:r>
    </w:p>
    <w:p>
      <w:r>
        <w:drawing>
          <wp:inline xmlns:a="http://schemas.openxmlformats.org/drawingml/2006/main" xmlns:pic="http://schemas.openxmlformats.org/drawingml/2006/picture">
            <wp:extent cx="5400000" cy="3553448"/>
            <wp:docPr id="19" name="Picture 19"/>
            <wp:cNvGraphicFramePr>
              <a:graphicFrameLocks noChangeAspect="1"/>
            </wp:cNvGraphicFramePr>
            <a:graphic>
              <a:graphicData uri="http://schemas.openxmlformats.org/drawingml/2006/picture">
                <pic:pic>
                  <pic:nvPicPr>
                    <pic:cNvPr id="0" name="06_path_diagram_pls.png"/>
                    <pic:cNvPicPr/>
                  </pic:nvPicPr>
                  <pic:blipFill>
                    <a:blip r:embed="rId27"/>
                    <a:stretch>
                      <a:fillRect/>
                    </a:stretch>
                  </pic:blipFill>
                  <pic:spPr>
                    <a:xfrm>
                      <a:off x="0" y="0"/>
                      <a:ext cx="5400000" cy="3553448"/>
                    </a:xfrm>
                    <a:prstGeom prst="rect"/>
                  </pic:spPr>
                </pic:pic>
              </a:graphicData>
            </a:graphic>
          </wp:inline>
        </w:drawing>
      </w:r>
    </w:p>
    <w:p>
      <w:pPr>
        <w:spacing w:after="280"/>
        <w:jc w:val="center"/>
      </w:pPr>
      <w:r>
        <w:rPr>
          <w:i/>
          <w:sz w:val="20"/>
        </w:rPr>
        <w:t>Hình 18.1: Sơ đồ đường dẫn kết quả PLS-SEM.</w:t>
      </w:r>
    </w:p>
    <w:p>
      <w:pPr>
        <w:pStyle w:val="Heading2"/>
      </w:pPr>
      <w:r>
        <w:t>Chương 19. PLSpredict — Đánh giá khả năng dự báo ngoài mẫu</w:t>
      </w:r>
    </w:p>
    <w:p>
      <w:r>
        <w:rPr>
          <w:b w:val="0"/>
          <w:i w:val="0"/>
        </w:rPr>
        <w:t>R² và Q² (Chương 17) chỉ đánh giá năng lực giải thích/dự báo TRONG mẫu huấn luyện. Shmueli, Ray, Velasquez Estrada và Chuan-Ho (2016) chỉ ra rằng một mô hình có R² cao vẫn có thể dự báo kém trên dữ liệu MỚI (overfitting) — và đề xuất thủ tục PLSpredict: chia dữ liệu k-fold, huấn luyện trên phần còn lại, dự báo phần giữ lại, rồi so sánh sai số dự báo (RMSE/MAE) của mô hình PLS với một mô hình đường cơ sở đơn giản (Linear Model — LM benchmark). Nếu PLS có sai số dự báo THẤP HƠN LM ở đa số indicator, mô hình có năng lực dự báo tốt (Shmueli và cộng sự, 2019).</w:t>
      </w:r>
    </w:p>
    <w:p>
      <w:r>
        <w:drawing>
          <wp:inline xmlns:a="http://schemas.openxmlformats.org/drawingml/2006/main" xmlns:pic="http://schemas.openxmlformats.org/drawingml/2006/picture">
            <wp:extent cx="5400000" cy="1885345"/>
            <wp:docPr id="20" name="Picture 20"/>
            <wp:cNvGraphicFramePr>
              <a:graphicFrameLocks noChangeAspect="1"/>
            </wp:cNvGraphicFramePr>
            <a:graphic>
              <a:graphicData uri="http://schemas.openxmlformats.org/drawingml/2006/picture">
                <pic:pic>
                  <pic:nvPicPr>
                    <pic:cNvPr id="0" name="19_plspredict.png"/>
                    <pic:cNvPicPr/>
                  </pic:nvPicPr>
                  <pic:blipFill>
                    <a:blip r:embed="rId28"/>
                    <a:stretch>
                      <a:fillRect/>
                    </a:stretch>
                  </pic:blipFill>
                  <pic:spPr>
                    <a:xfrm>
                      <a:off x="0" y="0"/>
                      <a:ext cx="5400000" cy="1885345"/>
                    </a:xfrm>
                    <a:prstGeom prst="rect"/>
                  </pic:spPr>
                </pic:pic>
              </a:graphicData>
            </a:graphic>
          </wp:inline>
        </w:drawing>
      </w:r>
    </w:p>
    <w:p>
      <w:pPr>
        <w:spacing w:after="280"/>
        <w:jc w:val="center"/>
      </w:pPr>
      <w:r>
        <w:rPr>
          <w:i/>
          <w:sz w:val="20"/>
        </w:rPr>
        <w:t>Hình 19.1: Bảng kết quả PLSpredict, so sánh RMSE giữa PLS và mô hình cơ sở LM.</w:t>
      </w:r>
    </w:p>
    <w:p>
      <w:pPr>
        <w:pStyle w:val="Heading2"/>
      </w:pPr>
      <w:r>
        <w:t>Chương 20. IPMA — Importance-Performance Map Analysis</w:t>
      </w:r>
    </w:p>
    <w:p>
      <w:r>
        <w:rPr>
          <w:b w:val="0"/>
          <w:i w:val="0"/>
        </w:rPr>
        <w:t>IPMA (Ringle &amp; Sarstedt, 2016) kết hợp hai chiều thông tin cho từng construct/indicator tiền đề: Tầm quan trọng (Importance — tổng hệ số tác động total effect lên biến mục tiêu) và Hiệu suất (Performance — điểm trung bình đã chuẩn hoá về thang 0-100). Biểu đồ hai chiều giúp nhà quản trị xác định ưu tiên hành động: những yếu tố CÓ TẦM QUAN TRỌNG CAO nhưng HIỆU SUẤT THẤP là nơi cần cải thiện khẩn cấp nhất — thông tin mà chỉ riêng hệ số đường dẫn (chỉ phản ánh tầm quan trọng) không cung cấp được.</w:t>
      </w:r>
    </w:p>
    <w:p>
      <w:r>
        <w:drawing>
          <wp:inline xmlns:a="http://schemas.openxmlformats.org/drawingml/2006/main" xmlns:pic="http://schemas.openxmlformats.org/drawingml/2006/picture">
            <wp:extent cx="5400000" cy="2556466"/>
            <wp:docPr id="21" name="Picture 21"/>
            <wp:cNvGraphicFramePr>
              <a:graphicFrameLocks noChangeAspect="1"/>
            </wp:cNvGraphicFramePr>
            <a:graphic>
              <a:graphicData uri="http://schemas.openxmlformats.org/drawingml/2006/picture">
                <pic:pic>
                  <pic:nvPicPr>
                    <pic:cNvPr id="0" name="20_ipma.png"/>
                    <pic:cNvPicPr/>
                  </pic:nvPicPr>
                  <pic:blipFill>
                    <a:blip r:embed="rId29"/>
                    <a:stretch>
                      <a:fillRect/>
                    </a:stretch>
                  </pic:blipFill>
                  <pic:spPr>
                    <a:xfrm>
                      <a:off x="0" y="0"/>
                      <a:ext cx="5400000" cy="2556466"/>
                    </a:xfrm>
                    <a:prstGeom prst="rect"/>
                  </pic:spPr>
                </pic:pic>
              </a:graphicData>
            </a:graphic>
          </wp:inline>
        </w:drawing>
      </w:r>
    </w:p>
    <w:p>
      <w:pPr>
        <w:spacing w:after="280"/>
        <w:jc w:val="center"/>
      </w:pPr>
      <w:r>
        <w:rPr>
          <w:i/>
          <w:sz w:val="20"/>
        </w:rPr>
        <w:t>Hình 20.1: Biểu đồ &amp; bảng IPMA — Tầm quan trọng so với Hiệu suất.</w:t>
      </w:r>
    </w:p>
    <w:p>
      <w:r>
        <w:br w:type="page"/>
      </w:r>
    </w:p>
    <w:p>
      <w:pPr>
        <w:pStyle w:val="Heading1"/>
      </w:pPr>
      <w:r>
        <w:t>PHẦN 4 — PHÂN TÍCH CB-SEM</w:t>
      </w:r>
    </w:p>
    <w:p>
      <w:pPr>
        <w:pStyle w:val="Heading2"/>
      </w:pPr>
      <w:r>
        <w:t>Chương 21. Model Fit — Các chỉ số phù hợp mô hình</w:t>
      </w:r>
    </w:p>
    <w:p>
      <w:r>
        <w:rPr>
          <w:b w:val="0"/>
          <w:i w:val="0"/>
        </w:rPr>
        <w:t>Vì CB-SEM ước lượng dựa trên khớp ma trận hiệp phương sai, việc đánh giá bắt đầu bằng câu hỏi: mô hình giả thuyết có PHÙ HỢP với dữ liệu quan sát hay không — điều PLS-SEM không có khái niệm tương đương. Các chỉ số phổ biến: Chi-square (χ²) — càng nhỏ càng tốt nhưng rất nhạy với cỡ mẫu lớn; CFI (Comparative Fit Index) và TLI (Tucker-Lewis Index) — khuyến nghị ≥ 0.90 (Bentler, 1990), lý tưởng ≥ 0.95 (Hu &amp; Bentler, 1999); RMSEA (Root Mean Square Error of Approximation) — khuyến nghị ≤ 0.08, lý tưởng ≤ 0.06 (Browne &amp; Cudeck, 1993); SRMR (Standardized Root Mean Square Residual) — khuyến nghị ≤ 0.08. Một mô hình được xem là phù hợp khi ĐA SỐ các chỉ số trên đạt ngưỡng đồng thời, không chỉ dựa vào một chỉ số đơn lẻ.</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Ngưỡng chấp nhận</w:t>
            </w:r>
          </w:p>
        </w:tc>
        <w:tc>
          <w:tcPr>
            <w:tcW w:type="dxa" w:w="2880"/>
          </w:tcPr>
          <w:p>
            <w:r>
              <w:rPr>
                <w:b/>
              </w:rPr>
              <w:t>Ngưỡng tốt</w:t>
            </w:r>
          </w:p>
        </w:tc>
      </w:tr>
      <w:tr>
        <w:tc>
          <w:tcPr>
            <w:tcW w:type="dxa" w:w="2880"/>
          </w:tcPr>
          <w:p>
            <w:r>
              <w:t>CFI / TLI</w:t>
            </w:r>
          </w:p>
        </w:tc>
        <w:tc>
          <w:tcPr>
            <w:tcW w:type="dxa" w:w="2880"/>
          </w:tcPr>
          <w:p>
            <w:r>
              <w:t>≥ 0.90</w:t>
            </w:r>
          </w:p>
        </w:tc>
        <w:tc>
          <w:tcPr>
            <w:tcW w:type="dxa" w:w="2880"/>
          </w:tcPr>
          <w:p>
            <w:r>
              <w:t>≥ 0.95</w:t>
            </w:r>
          </w:p>
        </w:tc>
      </w:tr>
      <w:tr>
        <w:tc>
          <w:tcPr>
            <w:tcW w:type="dxa" w:w="2880"/>
          </w:tcPr>
          <w:p>
            <w:r>
              <w:t>RMSEA</w:t>
            </w:r>
          </w:p>
        </w:tc>
        <w:tc>
          <w:tcPr>
            <w:tcW w:type="dxa" w:w="2880"/>
          </w:tcPr>
          <w:p>
            <w:r>
              <w:t>≤ 0.08</w:t>
            </w:r>
          </w:p>
        </w:tc>
        <w:tc>
          <w:tcPr>
            <w:tcW w:type="dxa" w:w="2880"/>
          </w:tcPr>
          <w:p>
            <w:r>
              <w:t>≤ 0.06</w:t>
            </w:r>
          </w:p>
        </w:tc>
      </w:tr>
      <w:tr>
        <w:tc>
          <w:tcPr>
            <w:tcW w:type="dxa" w:w="2880"/>
          </w:tcPr>
          <w:p>
            <w:r>
              <w:t>SRMR</w:t>
            </w:r>
          </w:p>
        </w:tc>
        <w:tc>
          <w:tcPr>
            <w:tcW w:type="dxa" w:w="2880"/>
          </w:tcPr>
          <w:p>
            <w:r>
              <w:t>≤ 0.08</w:t>
            </w:r>
          </w:p>
        </w:tc>
        <w:tc>
          <w:tcPr>
            <w:tcW w:type="dxa" w:w="2880"/>
          </w:tcPr>
          <w:p>
            <w:r>
              <w:t>≤ 0.05</w:t>
            </w:r>
          </w:p>
        </w:tc>
      </w:tr>
      <w:tr>
        <w:tc>
          <w:tcPr>
            <w:tcW w:type="dxa" w:w="2880"/>
          </w:tcPr>
          <w:p>
            <w:r>
              <w:t>Chi-square/df</w:t>
            </w:r>
          </w:p>
        </w:tc>
        <w:tc>
          <w:tcPr>
            <w:tcW w:type="dxa" w:w="2880"/>
          </w:tcPr>
          <w:p>
            <w:r>
              <w:t>≤ 3</w:t>
            </w:r>
          </w:p>
        </w:tc>
        <w:tc>
          <w:tcPr>
            <w:tcW w:type="dxa" w:w="2880"/>
          </w:tcPr>
          <w:p>
            <w:r>
              <w:t>≤ 2</w:t>
            </w:r>
          </w:p>
        </w:tc>
      </w:tr>
    </w:tbl>
    <w:p>
      <w:pPr>
        <w:spacing w:after="120"/>
      </w:pPr>
    </w:p>
    <w:p>
      <w:r>
        <w:drawing>
          <wp:inline xmlns:a="http://schemas.openxmlformats.org/drawingml/2006/main" xmlns:pic="http://schemas.openxmlformats.org/drawingml/2006/picture">
            <wp:extent cx="5400000" cy="1924138"/>
            <wp:docPr id="22" name="Picture 22"/>
            <wp:cNvGraphicFramePr>
              <a:graphicFrameLocks noChangeAspect="1"/>
            </wp:cNvGraphicFramePr>
            <a:graphic>
              <a:graphicData uri="http://schemas.openxmlformats.org/drawingml/2006/picture">
                <pic:pic>
                  <pic:nvPicPr>
                    <pic:cNvPr id="0" name="24_cbsem_fit_indices.png"/>
                    <pic:cNvPicPr/>
                  </pic:nvPicPr>
                  <pic:blipFill>
                    <a:blip r:embed="rId30"/>
                    <a:stretch>
                      <a:fillRect/>
                    </a:stretch>
                  </pic:blipFill>
                  <pic:spPr>
                    <a:xfrm>
                      <a:off x="0" y="0"/>
                      <a:ext cx="5400000" cy="1924138"/>
                    </a:xfrm>
                    <a:prstGeom prst="rect"/>
                  </pic:spPr>
                </pic:pic>
              </a:graphicData>
            </a:graphic>
          </wp:inline>
        </w:drawing>
      </w:r>
    </w:p>
    <w:p>
      <w:pPr>
        <w:spacing w:after="280"/>
        <w:jc w:val="center"/>
      </w:pPr>
      <w:r>
        <w:rPr>
          <w:i/>
          <w:sz w:val="20"/>
        </w:rPr>
        <w:t>Hình 21.1: Bảng các chỉ số Model Fit của CB-SEM.</w:t>
      </w:r>
    </w:p>
    <w:p>
      <w:pPr>
        <w:pStyle w:val="Heading2"/>
      </w:pPr>
      <w:r>
        <w:t>Chương 22. Thực hành đọc kết quả CB-SEM</w:t>
      </w:r>
    </w:p>
    <w:p>
      <w:r>
        <w:rPr>
          <w:b w:val="0"/>
          <w:i w:val="0"/>
        </w:rPr>
        <w:t>Ngoài Model Fit, các bảng còn lại của CB-SEM (độ tin cậy, Factor Loadings, giá trị phân biệt, Path Coefficients, mediation, moderated mediation, R², CMB) được diễn giải theo cùng logic lý thuyết đã trình bày ở Phần 3, chỉ khác về nền tảng ước lượng (Maximum Likelihood thay vì bootstrapping cho sai số chuẩn).</w:t>
      </w:r>
    </w:p>
    <w:p>
      <w:r>
        <w:drawing>
          <wp:inline xmlns:a="http://schemas.openxmlformats.org/drawingml/2006/main" xmlns:pic="http://schemas.openxmlformats.org/drawingml/2006/picture">
            <wp:extent cx="5400000" cy="5997345"/>
            <wp:docPr id="23" name="Picture 23"/>
            <wp:cNvGraphicFramePr>
              <a:graphicFrameLocks noChangeAspect="1"/>
            </wp:cNvGraphicFramePr>
            <a:graphic>
              <a:graphicData uri="http://schemas.openxmlformats.org/drawingml/2006/picture">
                <pic:pic>
                  <pic:nvPicPr>
                    <pic:cNvPr id="0" name="25_cbsem_reliability.png"/>
                    <pic:cNvPicPr/>
                  </pic:nvPicPr>
                  <pic:blipFill>
                    <a:blip r:embed="rId31"/>
                    <a:stretch>
                      <a:fillRect/>
                    </a:stretch>
                  </pic:blipFill>
                  <pic:spPr>
                    <a:xfrm>
                      <a:off x="0" y="0"/>
                      <a:ext cx="5400000" cy="5997345"/>
                    </a:xfrm>
                    <a:prstGeom prst="rect"/>
                  </pic:spPr>
                </pic:pic>
              </a:graphicData>
            </a:graphic>
          </wp:inline>
        </w:drawing>
      </w:r>
    </w:p>
    <w:p>
      <w:pPr>
        <w:spacing w:after="280"/>
        <w:jc w:val="center"/>
      </w:pPr>
      <w:r>
        <w:rPr>
          <w:i/>
          <w:sz w:val="20"/>
        </w:rPr>
        <w:t>Hình 22.1: Bảng độ tin cậy &amp; giá trị hội tụ (CB-SEM).</w:t>
      </w:r>
    </w:p>
    <w:p>
      <w:r>
        <w:drawing>
          <wp:inline xmlns:a="http://schemas.openxmlformats.org/drawingml/2006/main" xmlns:pic="http://schemas.openxmlformats.org/drawingml/2006/picture">
            <wp:extent cx="5400000" cy="5997345"/>
            <wp:docPr id="24" name="Picture 24"/>
            <wp:cNvGraphicFramePr>
              <a:graphicFrameLocks noChangeAspect="1"/>
            </wp:cNvGraphicFramePr>
            <a:graphic>
              <a:graphicData uri="http://schemas.openxmlformats.org/drawingml/2006/picture">
                <pic:pic>
                  <pic:nvPicPr>
                    <pic:cNvPr id="0" name="26_cbsem_loadings.png"/>
                    <pic:cNvPicPr/>
                  </pic:nvPicPr>
                  <pic:blipFill>
                    <a:blip r:embed="rId32"/>
                    <a:stretch>
                      <a:fillRect/>
                    </a:stretch>
                  </pic:blipFill>
                  <pic:spPr>
                    <a:xfrm>
                      <a:off x="0" y="0"/>
                      <a:ext cx="5400000" cy="5997345"/>
                    </a:xfrm>
                    <a:prstGeom prst="rect"/>
                  </pic:spPr>
                </pic:pic>
              </a:graphicData>
            </a:graphic>
          </wp:inline>
        </w:drawing>
      </w:r>
    </w:p>
    <w:p>
      <w:pPr>
        <w:spacing w:after="280"/>
        <w:jc w:val="center"/>
      </w:pPr>
      <w:r>
        <w:rPr>
          <w:i/>
          <w:sz w:val="20"/>
        </w:rPr>
        <w:t>Hình 22.2: Bảng Factor Loadings (CB-SEM).</w:t>
      </w:r>
    </w:p>
    <w:p>
      <w:r>
        <w:drawing>
          <wp:inline xmlns:a="http://schemas.openxmlformats.org/drawingml/2006/main" xmlns:pic="http://schemas.openxmlformats.org/drawingml/2006/picture">
            <wp:extent cx="5400000" cy="4073894"/>
            <wp:docPr id="25" name="Picture 25"/>
            <wp:cNvGraphicFramePr>
              <a:graphicFrameLocks noChangeAspect="1"/>
            </wp:cNvGraphicFramePr>
            <a:graphic>
              <a:graphicData uri="http://schemas.openxmlformats.org/drawingml/2006/picture">
                <pic:pic>
                  <pic:nvPicPr>
                    <pic:cNvPr id="0" name="27_cbsem_path.png"/>
                    <pic:cNvPicPr/>
                  </pic:nvPicPr>
                  <pic:blipFill>
                    <a:blip r:embed="rId33"/>
                    <a:stretch>
                      <a:fillRect/>
                    </a:stretch>
                  </pic:blipFill>
                  <pic:spPr>
                    <a:xfrm>
                      <a:off x="0" y="0"/>
                      <a:ext cx="5400000" cy="4073894"/>
                    </a:xfrm>
                    <a:prstGeom prst="rect"/>
                  </pic:spPr>
                </pic:pic>
              </a:graphicData>
            </a:graphic>
          </wp:inline>
        </w:drawing>
      </w:r>
    </w:p>
    <w:p>
      <w:pPr>
        <w:spacing w:after="280"/>
        <w:jc w:val="center"/>
      </w:pPr>
      <w:r>
        <w:rPr>
          <w:i/>
          <w:sz w:val="20"/>
        </w:rPr>
        <w:t>Hình 22.3: Bảng Path Coefficients (CB-SEM).</w:t>
      </w:r>
    </w:p>
    <w:p>
      <w:r>
        <w:br w:type="page"/>
      </w:r>
    </w:p>
    <w:p>
      <w:pPr>
        <w:pStyle w:val="Heading1"/>
      </w:pPr>
      <w:r>
        <w:t>PHẦN 5 — CÔNG CỤ PHÂN TÍCH BỔ SUNG</w:t>
      </w:r>
    </w:p>
    <w:p>
      <w:pPr>
        <w:pStyle w:val="Heading2"/>
      </w:pPr>
      <w:r>
        <w:t>Chương 23. Sample Size Sensitivity Analysis</w:t>
      </w:r>
    </w:p>
    <w:p>
      <w:r>
        <w:rPr>
          <w:b w:val="0"/>
          <w:i w:val="0"/>
        </w:rPr>
        <w:t>Cỡ mẫu ảnh hưởng trực tiếp đến độ ổn định của hệ số đường dẫn và ý nghĩa thống kê trong PLS-SEM. Kock và Hadaya (2018) đề xuất các phương pháp ước lượng cỡ mẫu tối thiểu (inverse square root, gamma-exponential) thay thế cho quy tắc kinh nghiệm '10 lần số đường dẫn lớn nhất trỏ vào một construct' vốn bị Marcoulides và Chin (2013) chỉ ra là không đủ chặt chẽ về mặt thống kê trong nhiều trường hợp. Công cụ Sensitivity Analysis của UEH-WebSEM mô phỏng chạy lại mô hình ở NHIỀU mức cỡ mẫu khác nhau (lấy mẫu con từ dữ liệu gốc hoặc mô phỏng), rồi vẽ biểu đồ R², hệ số đường dẫn và p-value biến thiên theo cỡ mẫu — giúp trực quan hoá tại mức cỡ mẫu nào kết quả bắt đầu ổn định.</w:t>
      </w:r>
    </w:p>
    <w:p>
      <w:r>
        <w:drawing>
          <wp:inline xmlns:a="http://schemas.openxmlformats.org/drawingml/2006/main" xmlns:pic="http://schemas.openxmlformats.org/drawingml/2006/picture">
            <wp:extent cx="5400000" cy="3750000"/>
            <wp:docPr id="26" name="Picture 26"/>
            <wp:cNvGraphicFramePr>
              <a:graphicFrameLocks noChangeAspect="1"/>
            </wp:cNvGraphicFramePr>
            <a:graphic>
              <a:graphicData uri="http://schemas.openxmlformats.org/drawingml/2006/picture">
                <pic:pic>
                  <pic:nvPicPr>
                    <pic:cNvPr id="0" name="28_sensitivity_modal.png"/>
                    <pic:cNvPicPr/>
                  </pic:nvPicPr>
                  <pic:blipFill>
                    <a:blip r:embed="rId34"/>
                    <a:stretch>
                      <a:fillRect/>
                    </a:stretch>
                  </pic:blipFill>
                  <pic:spPr>
                    <a:xfrm>
                      <a:off x="0" y="0"/>
                      <a:ext cx="5400000" cy="3750000"/>
                    </a:xfrm>
                    <a:prstGeom prst="rect"/>
                  </pic:spPr>
                </pic:pic>
              </a:graphicData>
            </a:graphic>
          </wp:inline>
        </w:drawing>
      </w:r>
    </w:p>
    <w:p>
      <w:pPr>
        <w:spacing w:after="280"/>
        <w:jc w:val="center"/>
      </w:pPr>
      <w:r>
        <w:rPr>
          <w:i/>
          <w:sz w:val="20"/>
        </w:rPr>
        <w:t>Hình 23.1: Hộp thoại cấu hình Sensitivity Analysis.</w:t>
      </w:r>
    </w:p>
    <w:p>
      <w:r>
        <w:drawing>
          <wp:inline xmlns:a="http://schemas.openxmlformats.org/drawingml/2006/main" xmlns:pic="http://schemas.openxmlformats.org/drawingml/2006/picture">
            <wp:extent cx="5400000" cy="9176250"/>
            <wp:docPr id="27" name="Picture 27"/>
            <wp:cNvGraphicFramePr>
              <a:graphicFrameLocks noChangeAspect="1"/>
            </wp:cNvGraphicFramePr>
            <a:graphic>
              <a:graphicData uri="http://schemas.openxmlformats.org/drawingml/2006/picture">
                <pic:pic>
                  <pic:nvPicPr>
                    <pic:cNvPr id="0" name="29_sensitivity_page.png"/>
                    <pic:cNvPicPr/>
                  </pic:nvPicPr>
                  <pic:blipFill>
                    <a:blip r:embed="rId35"/>
                    <a:stretch>
                      <a:fillRect/>
                    </a:stretch>
                  </pic:blipFill>
                  <pic:spPr>
                    <a:xfrm>
                      <a:off x="0" y="0"/>
                      <a:ext cx="5400000" cy="9176250"/>
                    </a:xfrm>
                    <a:prstGeom prst="rect"/>
                  </pic:spPr>
                </pic:pic>
              </a:graphicData>
            </a:graphic>
          </wp:inline>
        </w:drawing>
      </w:r>
    </w:p>
    <w:p>
      <w:pPr>
        <w:spacing w:after="280"/>
        <w:jc w:val="center"/>
      </w:pPr>
      <w:r>
        <w:rPr>
          <w:i/>
          <w:sz w:val="20"/>
        </w:rPr>
        <w:t>Hình 23.2: Trang kết quả — biến thiên R², hệ số đường dẫn, p-value theo cỡ mẫu.</w:t>
      </w:r>
    </w:p>
    <w:p>
      <w:pPr>
        <w:pStyle w:val="Heading2"/>
      </w:pPr>
      <w:r>
        <w:t>Chương 24. Power Analysis</w:t>
      </w:r>
    </w:p>
    <w:p>
      <w:r>
        <w:rPr>
          <w:b w:val="0"/>
          <w:i w:val="0"/>
        </w:rPr>
        <w:t>Lực kiểm định (statistical power) là xác suất phát hiện đúng một hiệu ứng thực sự tồn tại trong tổng thể (tránh sai lầm loại II). Cohen (1988) khuyến nghị mức lực kiểm định tối thiểu 0.80. Công cụ G*Power của Faul, Erdfelder, Lang và Buchner (2007) là chuẩn tham chiếu phổ biến cho hồi quy/ANOVA; với PLS-SEM, UEH-WebSEM áp dụng phương pháp mô phỏng Monte Carlo — lặp lại việc mô phỏng dữ liệu và chạy mô hình ở từng mức cỡ mẫu để ước lượng thực nghiệm xác suất phát hiện hiệu ứng có ý nghĩa thống kê, cho phép người dùng xác định cỡ mẫu cần thu thập để đạt lực kiểm định mong muốn trước khi khảo sát thực tế.</w:t>
      </w:r>
    </w:p>
    <w:p>
      <w:r>
        <w:drawing>
          <wp:inline xmlns:a="http://schemas.openxmlformats.org/drawingml/2006/main" xmlns:pic="http://schemas.openxmlformats.org/drawingml/2006/picture">
            <wp:extent cx="5400000" cy="3750000"/>
            <wp:docPr id="28" name="Picture 28"/>
            <wp:cNvGraphicFramePr>
              <a:graphicFrameLocks noChangeAspect="1"/>
            </wp:cNvGraphicFramePr>
            <a:graphic>
              <a:graphicData uri="http://schemas.openxmlformats.org/drawingml/2006/picture">
                <pic:pic>
                  <pic:nvPicPr>
                    <pic:cNvPr id="0" name="30_power_modal.png"/>
                    <pic:cNvPicPr/>
                  </pic:nvPicPr>
                  <pic:blipFill>
                    <a:blip r:embed="rId36"/>
                    <a:stretch>
                      <a:fillRect/>
                    </a:stretch>
                  </pic:blipFill>
                  <pic:spPr>
                    <a:xfrm>
                      <a:off x="0" y="0"/>
                      <a:ext cx="5400000" cy="3750000"/>
                    </a:xfrm>
                    <a:prstGeom prst="rect"/>
                  </pic:spPr>
                </pic:pic>
              </a:graphicData>
            </a:graphic>
          </wp:inline>
        </w:drawing>
      </w:r>
    </w:p>
    <w:p>
      <w:pPr>
        <w:spacing w:after="280"/>
        <w:jc w:val="center"/>
      </w:pPr>
      <w:r>
        <w:rPr>
          <w:i/>
          <w:sz w:val="20"/>
        </w:rPr>
        <w:t>Hình 24.1: Hộp thoại cấu hình Power Analysis.</w:t>
      </w:r>
    </w:p>
    <w:p>
      <w:r>
        <w:drawing>
          <wp:inline xmlns:a="http://schemas.openxmlformats.org/drawingml/2006/main" xmlns:pic="http://schemas.openxmlformats.org/drawingml/2006/picture">
            <wp:extent cx="5400000" cy="8865000"/>
            <wp:docPr id="29" name="Picture 29"/>
            <wp:cNvGraphicFramePr>
              <a:graphicFrameLocks noChangeAspect="1"/>
            </wp:cNvGraphicFramePr>
            <a:graphic>
              <a:graphicData uri="http://schemas.openxmlformats.org/drawingml/2006/picture">
                <pic:pic>
                  <pic:nvPicPr>
                    <pic:cNvPr id="0" name="31_power_analysis_page.png"/>
                    <pic:cNvPicPr/>
                  </pic:nvPicPr>
                  <pic:blipFill>
                    <a:blip r:embed="rId37"/>
                    <a:stretch>
                      <a:fillRect/>
                    </a:stretch>
                  </pic:blipFill>
                  <pic:spPr>
                    <a:xfrm>
                      <a:off x="0" y="0"/>
                      <a:ext cx="5400000" cy="8865000"/>
                    </a:xfrm>
                    <a:prstGeom prst="rect"/>
                  </pic:spPr>
                </pic:pic>
              </a:graphicData>
            </a:graphic>
          </wp:inline>
        </w:drawing>
      </w:r>
    </w:p>
    <w:p>
      <w:pPr>
        <w:spacing w:after="280"/>
        <w:jc w:val="center"/>
      </w:pPr>
      <w:r>
        <w:rPr>
          <w:i/>
          <w:sz w:val="20"/>
        </w:rPr>
        <w:t>Hình 24.2: Trang kết quả Power Analysis theo từng đường dẫn và cỡ mẫu.</w:t>
      </w:r>
    </w:p>
    <w:p>
      <w:pPr>
        <w:pStyle w:val="Heading2"/>
      </w:pPr>
      <w:r>
        <w:t>Chương 25. So sánh Machine Learning (ML Comparison)</w:t>
      </w:r>
    </w:p>
    <w:p>
      <w:r>
        <w:rPr>
          <w:b w:val="0"/>
          <w:i w:val="0"/>
        </w:rPr>
        <w:t>Bên cạnh hệ số đường dẫn PLS-SEM (dựa trên giả thuyết lý thuyết định trước), phần mềm cho phép đối chiếu mức độ quan trọng của từng biến độc lập bằng các thuật toán học máy hiện đại — vốn không đặt giả thuyết nhân quả trước mà học trực tiếp từ dữ liệu: Random Forest (Breiman, 2001), XGBoost (Chen &amp; Guestrin, 2016), LightGBM (Ke và cộng sự, 2017), CatBoost (Prokhorenkova và cộng sự, 2018), cùng các mô hình hồi quy/phân loại tuyến tính cơ bản. Mức quan trọng biến (feature importance) được tính qua permutation importance — đo mức R²/Accuracy giảm bao nhiêu khi xáo trộn ngẫu nhiên một biến — rồi so sánh thứ hạng với hệ số đường dẫn chuẩn hoá từ PLS-SEM. Sự tương đồng cao giữa hai bảng xếp hạng củng cố thêm bằng chứng cho mô hình lý thuyết; sự khác biệt lớn gợi ý cần xem xét lại giả thuyết hoặc khả năng có quan hệ phi tuyến mà mô hình tuyến tính PLS-SEM chưa nắm bắt được.</w:t>
      </w:r>
    </w:p>
    <w:p>
      <w:r>
        <w:drawing>
          <wp:inline xmlns:a="http://schemas.openxmlformats.org/drawingml/2006/main" xmlns:pic="http://schemas.openxmlformats.org/drawingml/2006/picture">
            <wp:extent cx="5400000" cy="3750000"/>
            <wp:docPr id="30" name="Picture 30"/>
            <wp:cNvGraphicFramePr>
              <a:graphicFrameLocks noChangeAspect="1"/>
            </wp:cNvGraphicFramePr>
            <a:graphic>
              <a:graphicData uri="http://schemas.openxmlformats.org/drawingml/2006/picture">
                <pic:pic>
                  <pic:nvPicPr>
                    <pic:cNvPr id="0" name="32_ml_comparison_modal.png"/>
                    <pic:cNvPicPr/>
                  </pic:nvPicPr>
                  <pic:blipFill>
                    <a:blip r:embed="rId38"/>
                    <a:stretch>
                      <a:fillRect/>
                    </a:stretch>
                  </pic:blipFill>
                  <pic:spPr>
                    <a:xfrm>
                      <a:off x="0" y="0"/>
                      <a:ext cx="5400000" cy="3750000"/>
                    </a:xfrm>
                    <a:prstGeom prst="rect"/>
                  </pic:spPr>
                </pic:pic>
              </a:graphicData>
            </a:graphic>
          </wp:inline>
        </w:drawing>
      </w:r>
    </w:p>
    <w:p>
      <w:pPr>
        <w:spacing w:after="280"/>
        <w:jc w:val="center"/>
      </w:pPr>
      <w:r>
        <w:rPr>
          <w:i/>
          <w:sz w:val="20"/>
        </w:rPr>
        <w:t>Hình 25.1: Hộp thoại chọn thuật toán học máy để so sánh.</w:t>
      </w:r>
    </w:p>
    <w:p>
      <w:r>
        <w:drawing>
          <wp:inline xmlns:a="http://schemas.openxmlformats.org/drawingml/2006/main" xmlns:pic="http://schemas.openxmlformats.org/drawingml/2006/picture">
            <wp:extent cx="5400000" cy="25248750"/>
            <wp:docPr id="31" name="Picture 31"/>
            <wp:cNvGraphicFramePr>
              <a:graphicFrameLocks noChangeAspect="1"/>
            </wp:cNvGraphicFramePr>
            <a:graphic>
              <a:graphicData uri="http://schemas.openxmlformats.org/drawingml/2006/picture">
                <pic:pic>
                  <pic:nvPicPr>
                    <pic:cNvPr id="0" name="33_ml_comparison_page.png"/>
                    <pic:cNvPicPr/>
                  </pic:nvPicPr>
                  <pic:blipFill>
                    <a:blip r:embed="rId39"/>
                    <a:stretch>
                      <a:fillRect/>
                    </a:stretch>
                  </pic:blipFill>
                  <pic:spPr>
                    <a:xfrm>
                      <a:off x="0" y="0"/>
                      <a:ext cx="5400000" cy="25248750"/>
                    </a:xfrm>
                    <a:prstGeom prst="rect"/>
                  </pic:spPr>
                </pic:pic>
              </a:graphicData>
            </a:graphic>
          </wp:inline>
        </w:drawing>
      </w:r>
    </w:p>
    <w:p>
      <w:pPr>
        <w:spacing w:after="280"/>
        <w:jc w:val="center"/>
      </w:pPr>
      <w:r>
        <w:rPr>
          <w:i/>
          <w:sz w:val="20"/>
        </w:rPr>
        <w:t>Hình 25.2: Trang kết quả so sánh — bảng tổng hợp &amp; chi tiết từng thuật toán.</w:t>
      </w:r>
    </w:p>
    <w:p>
      <w:r>
        <w:br w:type="page"/>
      </w:r>
    </w:p>
    <w:p>
      <w:pPr>
        <w:pStyle w:val="Heading1"/>
      </w:pPr>
      <w:r>
        <w:t>PHẦN 6 — XUẤT BÁO CÁO</w:t>
      </w:r>
    </w:p>
    <w:p>
      <w:pPr>
        <w:pStyle w:val="Heading2"/>
      </w:pPr>
      <w:r>
        <w:t>Chương 26. Xuất Excel/Word tự động</w:t>
      </w:r>
    </w:p>
    <w:p>
      <w:r>
        <w:rPr>
          <w:b w:val="0"/>
          <w:i w:val="0"/>
        </w:rPr>
        <w:t>Mỗi trang kết quả (PLS-SEM, CB-SEM, Sensitivity, Power Analysis, ML Comparison) đều có nút xuất Excel và Word, tự động trình bày lại toàn bộ bảng số liệu và sơ đồ đã tính theo định dạng sẵn sàng chèn vào luận văn/bài báo, không cần copy thủ công từng bảng.</w:t>
      </w:r>
    </w:p>
    <w:p>
      <w:pPr>
        <w:pStyle w:val="Heading2"/>
      </w:pPr>
      <w:r>
        <w:t>Chương 27. Sinh báo cáo bằng AI (AI-Generated Report)</w:t>
      </w:r>
    </w:p>
    <w:p>
      <w:r>
        <w:rPr>
          <w:b w:val="0"/>
          <w:i w:val="0"/>
        </w:rPr>
        <w:t>Đây là tính năng cho phép một mô hình ngôn ngữ lớn (LLM) VIẾT LẠI toàn bộ kết quả số liệu thành một báo cáo văn xuôi có diễn giải, so sánh với ngưỡng lý thuyết, và gợi ý hàm ý quản trị/học thuật — dựa HOÀN TOÀN trên số liệu thực tế vừa chạy (không bịa số liệu). Người dùng tự nhập khoá API của chính mình (không lưu trữ, không ghi log phía máy chủ) và có thể chọn một trong ba nhà cung cấp: OpenAI (GPT), Google Gemini, hoặc Anthropic Claude.</w:t>
      </w:r>
    </w:p>
    <w:p>
      <w:r>
        <w:drawing>
          <wp:inline xmlns:a="http://schemas.openxmlformats.org/drawingml/2006/main" xmlns:pic="http://schemas.openxmlformats.org/drawingml/2006/picture">
            <wp:extent cx="5400000" cy="3750000"/>
            <wp:docPr id="32" name="Picture 32"/>
            <wp:cNvGraphicFramePr>
              <a:graphicFrameLocks noChangeAspect="1"/>
            </wp:cNvGraphicFramePr>
            <a:graphic>
              <a:graphicData uri="http://schemas.openxmlformats.org/drawingml/2006/picture">
                <pic:pic>
                  <pic:nvPicPr>
                    <pic:cNvPr id="0" name="21_ai_report_modal.png"/>
                    <pic:cNvPicPr/>
                  </pic:nvPicPr>
                  <pic:blipFill>
                    <a:blip r:embed="rId40"/>
                    <a:stretch>
                      <a:fillRect/>
                    </a:stretch>
                  </pic:blipFill>
                  <pic:spPr>
                    <a:xfrm>
                      <a:off x="0" y="0"/>
                      <a:ext cx="5400000" cy="3750000"/>
                    </a:xfrm>
                    <a:prstGeom prst="rect"/>
                  </pic:spPr>
                </pic:pic>
              </a:graphicData>
            </a:graphic>
          </wp:inline>
        </w:drawing>
      </w:r>
    </w:p>
    <w:p>
      <w:pPr>
        <w:spacing w:after="280"/>
        <w:jc w:val="center"/>
      </w:pPr>
      <w:r>
        <w:rPr>
          <w:i/>
          <w:sz w:val="20"/>
        </w:rPr>
        <w:t>Hình 27.1: Hộp thoại cấu hình Báo cáo AI — chọn nhà cung cấp, model, độ dài, các mục nội dung tuỳ chọn.</w:t>
      </w:r>
    </w:p>
    <w:p>
      <w:pPr>
        <w:pStyle w:val="Heading3"/>
      </w:pPr>
      <w:r>
        <w:t>27.1. Các tham số điều chỉnh</w:t>
      </w:r>
    </w:p>
    <w:p>
      <w:pPr>
        <w:pStyle w:val="ListBullet"/>
      </w:pPr>
      <w:r>
        <w:t>Model: tên mô hình cụ thể của nhà cung cấp đã chọn (ví dụ gpt-4o-mini, gemini-2.0-flash, claude-sonnet-5); có thể gõ tự do ngoài danh sách gợi ý vì tên model thay đổi theo thời gian.</w:t>
      </w:r>
    </w:p>
    <w:p>
      <w:pPr>
        <w:pStyle w:val="ListBullet"/>
      </w:pPr>
      <w:r>
        <w:t>Temperature (độ sáng tạo), 0-1: giá trị thấp cho văn phong chặt chẽ, nhất quán, ít 'sáng tạo' diễn giải ngoài số liệu; giá trị cao cho văn phong linh hoạt hơn. Mặc định 1.0.</w:t>
      </w:r>
    </w:p>
    <w:p>
      <w:pPr>
        <w:pStyle w:val="ListBullet"/>
      </w:pPr>
      <w:r>
        <w:t>Độ dài báo cáo: ngắn / trung bình / dài — quyết định mức độ chi tiết của phần diễn giải.</w:t>
      </w:r>
    </w:p>
    <w:p>
      <w:pPr>
        <w:pStyle w:val="ListBullet"/>
      </w:pPr>
      <w:r>
        <w:t>Các mục nội dung tuỳ chọn: có bảng biểu hay không, có phần diễn giải ý nghĩa hay không, có khuyến nghị quản trị/học thuật hay không, có nêu hạn chế nghiên cứu hay không.</w:t>
      </w:r>
    </w:p>
    <w:p>
      <w:pPr>
        <w:pStyle w:val="ListBullet"/>
      </w:pPr>
      <w:r>
        <w:t>Yêu cầu/prompt tuỳ chỉnh: người dùng có thể viết thêm yêu cầu riêng, ví dụ đề nghị AI phân tích sâu một khía cạnh cụ thể (như Common Method Bias hay Simple Slopes).</w:t>
      </w:r>
    </w:p>
    <w:p>
      <w:r>
        <w:drawing>
          <wp:inline xmlns:a="http://schemas.openxmlformats.org/drawingml/2006/main" xmlns:pic="http://schemas.openxmlformats.org/drawingml/2006/picture">
            <wp:extent cx="5400000" cy="3750000"/>
            <wp:docPr id="33" name="Picture 33"/>
            <wp:cNvGraphicFramePr>
              <a:graphicFrameLocks noChangeAspect="1"/>
            </wp:cNvGraphicFramePr>
            <a:graphic>
              <a:graphicData uri="http://schemas.openxmlformats.org/drawingml/2006/picture">
                <pic:pic>
                  <pic:nvPicPr>
                    <pic:cNvPr id="0" name="22_ai_report_modal_filled.png"/>
                    <pic:cNvPicPr/>
                  </pic:nvPicPr>
                  <pic:blipFill>
                    <a:blip r:embed="rId41"/>
                    <a:stretch>
                      <a:fillRect/>
                    </a:stretch>
                  </pic:blipFill>
                  <pic:spPr>
                    <a:xfrm>
                      <a:off x="0" y="0"/>
                      <a:ext cx="5400000" cy="3750000"/>
                    </a:xfrm>
                    <a:prstGeom prst="rect"/>
                  </pic:spPr>
                </pic:pic>
              </a:graphicData>
            </a:graphic>
          </wp:inline>
        </w:drawing>
      </w:r>
    </w:p>
    <w:p>
      <w:pPr>
        <w:spacing w:after="280"/>
        <w:jc w:val="center"/>
      </w:pPr>
      <w:r>
        <w:rPr>
          <w:i/>
          <w:sz w:val="20"/>
        </w:rPr>
        <w:t>Hình 27.2: Hộp thoại đã điền khoá API và điều chỉnh Temperature.</w:t>
      </w:r>
    </w:p>
    <w:p>
      <w:r>
        <w:rPr>
          <w:b w:val="0"/>
          <w:i w:val="0"/>
        </w:rPr>
        <w:t>Toàn bộ số liệu đã tính (kể cả các biểu đồ dạng ảnh: sơ đồ đường dẫn, Simple Slopes...) được đính kèm để AI tham chiếu khi viết diễn giải bằng văn bản; các ảnh KHÔNG được gửi cho AI phân tích thị giác — chỉ hiển thị song song để người đọc đối chiếu trực quan, vì không phải model/nhà cung cấp nào cũng hỗ trợ đọc ảnh một cách đáng tin cậy.</w:t>
      </w:r>
    </w:p>
    <w:p>
      <w:r>
        <w:drawing>
          <wp:inline xmlns:a="http://schemas.openxmlformats.org/drawingml/2006/main" xmlns:pic="http://schemas.openxmlformats.org/drawingml/2006/picture">
            <wp:extent cx="5400000" cy="5490000"/>
            <wp:docPr id="34" name="Picture 34"/>
            <wp:cNvGraphicFramePr>
              <a:graphicFrameLocks noChangeAspect="1"/>
            </wp:cNvGraphicFramePr>
            <a:graphic>
              <a:graphicData uri="http://schemas.openxmlformats.org/drawingml/2006/picture">
                <pic:pic>
                  <pic:nvPicPr>
                    <pic:cNvPr id="0" name="23_ai_report_output.png"/>
                    <pic:cNvPicPr/>
                  </pic:nvPicPr>
                  <pic:blipFill>
                    <a:blip r:embed="rId42"/>
                    <a:stretch>
                      <a:fillRect/>
                    </a:stretch>
                  </pic:blipFill>
                  <pic:spPr>
                    <a:xfrm>
                      <a:off x="0" y="0"/>
                      <a:ext cx="5400000" cy="5490000"/>
                    </a:xfrm>
                    <a:prstGeom prst="rect"/>
                  </pic:spPr>
                </pic:pic>
              </a:graphicData>
            </a:graphic>
          </wp:inline>
        </w:drawing>
      </w:r>
    </w:p>
    <w:p>
      <w:pPr>
        <w:spacing w:after="280"/>
        <w:jc w:val="center"/>
      </w:pPr>
      <w:r>
        <w:rPr>
          <w:i/>
          <w:sz w:val="20"/>
        </w:rPr>
        <w:t>Hình 27.3: Trang kết quả báo cáo AI hoàn chỉnh (minh hoạ), gồm phần văn bản và ảnh biểu đồ đính kèm.</w:t>
      </w:r>
    </w:p>
    <w:p>
      <w:r>
        <w:rPr>
          <w:b w:val="0"/>
          <w:i/>
        </w:rPr>
        <w:t>Lưu ý học thuật quan trọng: báo cáo AI là công cụ HỖ TRỢ VIẾT, không thay thế việc người nghiên cứu tự kiểm tra, đối chiếu số liệu và chịu trách nhiệm học thuật cuối cùng về nội dung công bố.</w:t>
      </w:r>
    </w:p>
    <w:p>
      <w:r>
        <w:br w:type="page"/>
      </w:r>
    </w:p>
    <w:p>
      <w:pPr>
        <w:pStyle w:val="Heading1"/>
      </w:pPr>
      <w:r>
        <w:t>PHẦN 7 — PHỤ LỤC</w:t>
      </w:r>
    </w:p>
    <w:p>
      <w:pPr>
        <w:pStyle w:val="Heading2"/>
      </w:pPr>
      <w:r>
        <w:t>Phụ lục A. Bảng thuật ngữ SEM Việt–Anh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Tiếng Việt</w:t>
            </w:r>
          </w:p>
        </w:tc>
        <w:tc>
          <w:tcPr>
            <w:tcW w:type="dxa" w:w="2880"/>
          </w:tcPr>
          <w:p>
            <w:r>
              <w:rPr>
                <w:b/>
              </w:rPr>
              <w:t>Tiếng Anh</w:t>
            </w:r>
          </w:p>
        </w:tc>
        <w:tc>
          <w:tcPr>
            <w:tcW w:type="dxa" w:w="2880"/>
          </w:tcPr>
          <w:p>
            <w:r>
              <w:rPr>
                <w:b/>
              </w:rPr>
              <w:t>Giải thích ngắn</w:t>
            </w:r>
          </w:p>
        </w:tc>
      </w:tr>
      <w:tr>
        <w:tc>
          <w:tcPr>
            <w:tcW w:type="dxa" w:w="2880"/>
          </w:tcPr>
          <w:p>
            <w:r>
              <w:t>Biến tiềm ẩn</w:t>
            </w:r>
          </w:p>
        </w:tc>
        <w:tc>
          <w:tcPr>
            <w:tcW w:type="dxa" w:w="2880"/>
          </w:tcPr>
          <w:p>
            <w:r>
              <w:t>Latent variable / Construct</w:t>
            </w:r>
          </w:p>
        </w:tc>
        <w:tc>
          <w:tcPr>
            <w:tcW w:type="dxa" w:w="2880"/>
          </w:tcPr>
          <w:p>
            <w:r>
              <w:t>Khái niệm không đo trực tiếp, suy ra từ indicator</w:t>
            </w:r>
          </w:p>
        </w:tc>
      </w:tr>
      <w:tr>
        <w:tc>
          <w:tcPr>
            <w:tcW w:type="dxa" w:w="2880"/>
          </w:tcPr>
          <w:p>
            <w:r>
              <w:t>Biến quan sát</w:t>
            </w:r>
          </w:p>
        </w:tc>
        <w:tc>
          <w:tcPr>
            <w:tcW w:type="dxa" w:w="2880"/>
          </w:tcPr>
          <w:p>
            <w:r>
              <w:t>Indicator / Item</w:t>
            </w:r>
          </w:p>
        </w:tc>
        <w:tc>
          <w:tcPr>
            <w:tcW w:type="dxa" w:w="2880"/>
          </w:tcPr>
          <w:p>
            <w:r>
              <w:t>Câu hỏi khảo sát đo lường một construct</w:t>
            </w:r>
          </w:p>
        </w:tc>
      </w:tr>
      <w:tr>
        <w:tc>
          <w:tcPr>
            <w:tcW w:type="dxa" w:w="2880"/>
          </w:tcPr>
          <w:p>
            <w:r>
              <w:t>Mô hình đo lường</w:t>
            </w:r>
          </w:p>
        </w:tc>
        <w:tc>
          <w:tcPr>
            <w:tcW w:type="dxa" w:w="2880"/>
          </w:tcPr>
          <w:p>
            <w:r>
              <w:t>Measurement model / Outer model</w:t>
            </w:r>
          </w:p>
        </w:tc>
        <w:tc>
          <w:tcPr>
            <w:tcW w:type="dxa" w:w="2880"/>
          </w:tcPr>
          <w:p>
            <w:r>
              <w:t>Quan hệ construct—indicator</w:t>
            </w:r>
          </w:p>
        </w:tc>
      </w:tr>
      <w:tr>
        <w:tc>
          <w:tcPr>
            <w:tcW w:type="dxa" w:w="2880"/>
          </w:tcPr>
          <w:p>
            <w:r>
              <w:t>Mô hình cấu trúc</w:t>
            </w:r>
          </w:p>
        </w:tc>
        <w:tc>
          <w:tcPr>
            <w:tcW w:type="dxa" w:w="2880"/>
          </w:tcPr>
          <w:p>
            <w:r>
              <w:t>Structural model / Inner model</w:t>
            </w:r>
          </w:p>
        </w:tc>
        <w:tc>
          <w:tcPr>
            <w:tcW w:type="dxa" w:w="2880"/>
          </w:tcPr>
          <w:p>
            <w:r>
              <w:t>Quan hệ giữa các construct</w:t>
            </w:r>
          </w:p>
        </w:tc>
      </w:tr>
      <w:tr>
        <w:tc>
          <w:tcPr>
            <w:tcW w:type="dxa" w:w="2880"/>
          </w:tcPr>
          <w:p>
            <w:r>
              <w:t>Độ tin cậy</w:t>
            </w:r>
          </w:p>
        </w:tc>
        <w:tc>
          <w:tcPr>
            <w:tcW w:type="dxa" w:w="2880"/>
          </w:tcPr>
          <w:p>
            <w:r>
              <w:t>Reliability</w:t>
            </w:r>
          </w:p>
        </w:tc>
        <w:tc>
          <w:tcPr>
            <w:tcW w:type="dxa" w:w="2880"/>
          </w:tcPr>
          <w:p>
            <w:r>
              <w:t>Mức nhất quán nội bộ của thang đo</w:t>
            </w:r>
          </w:p>
        </w:tc>
      </w:tr>
      <w:tr>
        <w:tc>
          <w:tcPr>
            <w:tcW w:type="dxa" w:w="2880"/>
          </w:tcPr>
          <w:p>
            <w:r>
              <w:t>Giá trị hội tụ</w:t>
            </w:r>
          </w:p>
        </w:tc>
        <w:tc>
          <w:tcPr>
            <w:tcW w:type="dxa" w:w="2880"/>
          </w:tcPr>
          <w:p>
            <w:r>
              <w:t>Convergent validity</w:t>
            </w:r>
          </w:p>
        </w:tc>
        <w:tc>
          <w:tcPr>
            <w:tcW w:type="dxa" w:w="2880"/>
          </w:tcPr>
          <w:p>
            <w:r>
              <w:t>Các indicator cùng đo một construct</w:t>
            </w:r>
          </w:p>
        </w:tc>
      </w:tr>
      <w:tr>
        <w:tc>
          <w:tcPr>
            <w:tcW w:type="dxa" w:w="2880"/>
          </w:tcPr>
          <w:p>
            <w:r>
              <w:t>Giá trị phân biệt</w:t>
            </w:r>
          </w:p>
        </w:tc>
        <w:tc>
          <w:tcPr>
            <w:tcW w:type="dxa" w:w="2880"/>
          </w:tcPr>
          <w:p>
            <w:r>
              <w:t>Discriminant validity</w:t>
            </w:r>
          </w:p>
        </w:tc>
        <w:tc>
          <w:tcPr>
            <w:tcW w:type="dxa" w:w="2880"/>
          </w:tcPr>
          <w:p>
            <w:r>
              <w:t>Các construct khác biệt nhau</w:t>
            </w:r>
          </w:p>
        </w:tc>
      </w:tr>
      <w:tr>
        <w:tc>
          <w:tcPr>
            <w:tcW w:type="dxa" w:w="2880"/>
          </w:tcPr>
          <w:p>
            <w:r>
              <w:t>Biến trung gian</w:t>
            </w:r>
          </w:p>
        </w:tc>
        <w:tc>
          <w:tcPr>
            <w:tcW w:type="dxa" w:w="2880"/>
          </w:tcPr>
          <w:p>
            <w:r>
              <w:t>Mediator</w:t>
            </w:r>
          </w:p>
        </w:tc>
        <w:tc>
          <w:tcPr>
            <w:tcW w:type="dxa" w:w="2880"/>
          </w:tcPr>
          <w:p>
            <w:r>
              <w:t>Biến giải thích cơ chế X→Y</w:t>
            </w:r>
          </w:p>
        </w:tc>
      </w:tr>
      <w:tr>
        <w:tc>
          <w:tcPr>
            <w:tcW w:type="dxa" w:w="2880"/>
          </w:tcPr>
          <w:p>
            <w:r>
              <w:t>Biến điều tiết</w:t>
            </w:r>
          </w:p>
        </w:tc>
        <w:tc>
          <w:tcPr>
            <w:tcW w:type="dxa" w:w="2880"/>
          </w:tcPr>
          <w:p>
            <w:r>
              <w:t>Moderator</w:t>
            </w:r>
          </w:p>
        </w:tc>
        <w:tc>
          <w:tcPr>
            <w:tcW w:type="dxa" w:w="2880"/>
          </w:tcPr>
          <w:p>
            <w:r>
              <w:t>Biến làm thay đổi cường độ/chiều X→Y</w:t>
            </w:r>
          </w:p>
        </w:tc>
      </w:tr>
      <w:tr>
        <w:tc>
          <w:tcPr>
            <w:tcW w:type="dxa" w:w="2880"/>
          </w:tcPr>
          <w:p>
            <w:r>
              <w:t>Đa cộng tuyến</w:t>
            </w:r>
          </w:p>
        </w:tc>
        <w:tc>
          <w:tcPr>
            <w:tcW w:type="dxa" w:w="2880"/>
          </w:tcPr>
          <w:p>
            <w:r>
              <w:t>Collinearity / Multicollinearity</w:t>
            </w:r>
          </w:p>
        </w:tc>
        <w:tc>
          <w:tcPr>
            <w:tcW w:type="dxa" w:w="2880"/>
          </w:tcPr>
          <w:p>
            <w:r>
              <w:t>Các biến độc lập tương quan quá cao</w:t>
            </w:r>
          </w:p>
        </w:tc>
      </w:tr>
      <w:tr>
        <w:tc>
          <w:tcPr>
            <w:tcW w:type="dxa" w:w="2880"/>
          </w:tcPr>
          <w:p>
            <w:r>
              <w:t>Lấy mẫu lại</w:t>
            </w:r>
          </w:p>
        </w:tc>
        <w:tc>
          <w:tcPr>
            <w:tcW w:type="dxa" w:w="2880"/>
          </w:tcPr>
          <w:p>
            <w:r>
              <w:t>Bootstrapping</w:t>
            </w:r>
          </w:p>
        </w:tc>
        <w:tc>
          <w:tcPr>
            <w:tcW w:type="dxa" w:w="2880"/>
          </w:tcPr>
          <w:p>
            <w:r>
              <w:t>Kỹ thuật resampling ước lượng p-value trong PLS-SEM</w:t>
            </w:r>
          </w:p>
        </w:tc>
      </w:tr>
    </w:tbl>
    <w:p>
      <w:pPr>
        <w:spacing w:after="120"/>
      </w:pPr>
    </w:p>
    <w:p>
      <w:pPr>
        <w:pStyle w:val="Heading2"/>
      </w:pPr>
      <w:r>
        <w:t>Phụ lục B. Bảng ngưỡng chấp nhận (Cheat sheet)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Ngưỡng chấp nhận</w:t>
            </w:r>
          </w:p>
        </w:tc>
        <w:tc>
          <w:tcPr>
            <w:tcW w:type="dxa" w:w="2880"/>
          </w:tcPr>
          <w:p>
            <w:r>
              <w:rPr>
                <w:b/>
              </w:rPr>
              <w:t>Nguồn</w:t>
            </w:r>
          </w:p>
        </w:tc>
      </w:tr>
      <w:tr>
        <w:tc>
          <w:tcPr>
            <w:tcW w:type="dxa" w:w="2880"/>
          </w:tcPr>
          <w:p>
            <w:r>
              <w:t>Cronbach's Alpha / CR</w:t>
            </w:r>
          </w:p>
        </w:tc>
        <w:tc>
          <w:tcPr>
            <w:tcW w:type="dxa" w:w="2880"/>
          </w:tcPr>
          <w:p>
            <w:r>
              <w:t>0.70 - 0.95</w:t>
            </w:r>
          </w:p>
        </w:tc>
        <w:tc>
          <w:tcPr>
            <w:tcW w:type="dxa" w:w="2880"/>
          </w:tcPr>
          <w:p>
            <w:r>
              <w:t>Hair và cộng sự (2022)</w:t>
            </w:r>
          </w:p>
        </w:tc>
      </w:tr>
      <w:tr>
        <w:tc>
          <w:tcPr>
            <w:tcW w:type="dxa" w:w="2880"/>
          </w:tcPr>
          <w:p>
            <w:r>
              <w:t>AVE</w:t>
            </w:r>
          </w:p>
        </w:tc>
        <w:tc>
          <w:tcPr>
            <w:tcW w:type="dxa" w:w="2880"/>
          </w:tcPr>
          <w:p>
            <w:r>
              <w:t>≥ 0.50</w:t>
            </w:r>
          </w:p>
        </w:tc>
        <w:tc>
          <w:tcPr>
            <w:tcW w:type="dxa" w:w="2880"/>
          </w:tcPr>
          <w:p>
            <w:r>
              <w:t>Fornell &amp; Larcker (1981)</w:t>
            </w:r>
          </w:p>
        </w:tc>
      </w:tr>
      <w:tr>
        <w:tc>
          <w:tcPr>
            <w:tcW w:type="dxa" w:w="2880"/>
          </w:tcPr>
          <w:p>
            <w:r>
              <w:t>Outer Loading</w:t>
            </w:r>
          </w:p>
        </w:tc>
        <w:tc>
          <w:tcPr>
            <w:tcW w:type="dxa" w:w="2880"/>
          </w:tcPr>
          <w:p>
            <w:r>
              <w:t>≥ 0.708</w:t>
            </w:r>
          </w:p>
        </w:tc>
        <w:tc>
          <w:tcPr>
            <w:tcW w:type="dxa" w:w="2880"/>
          </w:tcPr>
          <w:p>
            <w:r>
              <w:t>Hair và cộng sự (2022)</w:t>
            </w:r>
          </w:p>
        </w:tc>
      </w:tr>
      <w:tr>
        <w:tc>
          <w:tcPr>
            <w:tcW w:type="dxa" w:w="2880"/>
          </w:tcPr>
          <w:p>
            <w:r>
              <w:t>HTMT</w:t>
            </w:r>
          </w:p>
        </w:tc>
        <w:tc>
          <w:tcPr>
            <w:tcW w:type="dxa" w:w="2880"/>
          </w:tcPr>
          <w:p>
            <w:r>
              <w:t>&lt; 0.90 (nghiêm ngặt: &lt; 0.85)</w:t>
            </w:r>
          </w:p>
        </w:tc>
        <w:tc>
          <w:tcPr>
            <w:tcW w:type="dxa" w:w="2880"/>
          </w:tcPr>
          <w:p>
            <w:r>
              <w:t>Henseler và cộng sự (2015)</w:t>
            </w:r>
          </w:p>
        </w:tc>
      </w:tr>
      <w:tr>
        <w:tc>
          <w:tcPr>
            <w:tcW w:type="dxa" w:w="2880"/>
          </w:tcPr>
          <w:p>
            <w:r>
              <w:t>VIF (cấu trúc)</w:t>
            </w:r>
          </w:p>
        </w:tc>
        <w:tc>
          <w:tcPr>
            <w:tcW w:type="dxa" w:w="2880"/>
          </w:tcPr>
          <w:p>
            <w:r>
              <w:t>≤ 5 (nghiêm ngặt: ≤ 3.3)</w:t>
            </w:r>
          </w:p>
        </w:tc>
        <w:tc>
          <w:tcPr>
            <w:tcW w:type="dxa" w:w="2880"/>
          </w:tcPr>
          <w:p>
            <w:r>
              <w:t>Hair và cộng sự (2019)</w:t>
            </w:r>
          </w:p>
        </w:tc>
      </w:tr>
      <w:tr>
        <w:tc>
          <w:tcPr>
            <w:tcW w:type="dxa" w:w="2880"/>
          </w:tcPr>
          <w:p>
            <w:r>
              <w:t>VIF (Full Collinearity / CMB)</w:t>
            </w:r>
          </w:p>
        </w:tc>
        <w:tc>
          <w:tcPr>
            <w:tcW w:type="dxa" w:w="2880"/>
          </w:tcPr>
          <w:p>
            <w:r>
              <w:t>≤ 3.3</w:t>
            </w:r>
          </w:p>
        </w:tc>
        <w:tc>
          <w:tcPr>
            <w:tcW w:type="dxa" w:w="2880"/>
          </w:tcPr>
          <w:p>
            <w:r>
              <w:t>Kock (2015)</w:t>
            </w:r>
          </w:p>
        </w:tc>
      </w:tr>
      <w:tr>
        <w:tc>
          <w:tcPr>
            <w:tcW w:type="dxa" w:w="2880"/>
          </w:tcPr>
          <w:p>
            <w:r>
              <w:t>f²</w:t>
            </w:r>
          </w:p>
        </w:tc>
        <w:tc>
          <w:tcPr>
            <w:tcW w:type="dxa" w:w="2880"/>
          </w:tcPr>
          <w:p>
            <w:r>
              <w:t>0.02 / 0.15 / 0.35 (nhỏ/vừa/lớn)</w:t>
            </w:r>
          </w:p>
        </w:tc>
        <w:tc>
          <w:tcPr>
            <w:tcW w:type="dxa" w:w="2880"/>
          </w:tcPr>
          <w:p>
            <w:r>
              <w:t>Cohen (1988)</w:t>
            </w:r>
          </w:p>
        </w:tc>
      </w:tr>
      <w:tr>
        <w:tc>
          <w:tcPr>
            <w:tcW w:type="dxa" w:w="2880"/>
          </w:tcPr>
          <w:p>
            <w:r>
              <w:t>Q²</w:t>
            </w:r>
          </w:p>
        </w:tc>
        <w:tc>
          <w:tcPr>
            <w:tcW w:type="dxa" w:w="2880"/>
          </w:tcPr>
          <w:p>
            <w:r>
              <w:t>&gt; 0</w:t>
            </w:r>
          </w:p>
        </w:tc>
        <w:tc>
          <w:tcPr>
            <w:tcW w:type="dxa" w:w="2880"/>
          </w:tcPr>
          <w:p>
            <w:r>
              <w:t>Hair và cộng sự (2022)</w:t>
            </w:r>
          </w:p>
        </w:tc>
      </w:tr>
      <w:tr>
        <w:tc>
          <w:tcPr>
            <w:tcW w:type="dxa" w:w="2880"/>
          </w:tcPr>
          <w:p>
            <w:r>
              <w:t>CFI / TLI (CB-SEM)</w:t>
            </w:r>
          </w:p>
        </w:tc>
        <w:tc>
          <w:tcPr>
            <w:tcW w:type="dxa" w:w="2880"/>
          </w:tcPr>
          <w:p>
            <w:r>
              <w:t>≥ 0.90 (tốt: ≥ 0.95)</w:t>
            </w:r>
          </w:p>
        </w:tc>
        <w:tc>
          <w:tcPr>
            <w:tcW w:type="dxa" w:w="2880"/>
          </w:tcPr>
          <w:p>
            <w:r>
              <w:t>Hu &amp; Bentler (1999)</w:t>
            </w:r>
          </w:p>
        </w:tc>
      </w:tr>
      <w:tr>
        <w:tc>
          <w:tcPr>
            <w:tcW w:type="dxa" w:w="2880"/>
          </w:tcPr>
          <w:p>
            <w:r>
              <w:t>RMSEA (CB-SEM)</w:t>
            </w:r>
          </w:p>
        </w:tc>
        <w:tc>
          <w:tcPr>
            <w:tcW w:type="dxa" w:w="2880"/>
          </w:tcPr>
          <w:p>
            <w:r>
              <w:t>≤ 0.08 (tốt: ≤ 0.06)</w:t>
            </w:r>
          </w:p>
        </w:tc>
        <w:tc>
          <w:tcPr>
            <w:tcW w:type="dxa" w:w="2880"/>
          </w:tcPr>
          <w:p>
            <w:r>
              <w:t>Browne &amp; Cudeck (1993)</w:t>
            </w:r>
          </w:p>
        </w:tc>
      </w:tr>
      <w:tr>
        <w:tc>
          <w:tcPr>
            <w:tcW w:type="dxa" w:w="2880"/>
          </w:tcPr>
          <w:p>
            <w:r>
              <w:t>SRMR (CB-SEM)</w:t>
            </w:r>
          </w:p>
        </w:tc>
        <w:tc>
          <w:tcPr>
            <w:tcW w:type="dxa" w:w="2880"/>
          </w:tcPr>
          <w:p>
            <w:r>
              <w:t>≤ 0.08</w:t>
            </w:r>
          </w:p>
        </w:tc>
        <w:tc>
          <w:tcPr>
            <w:tcW w:type="dxa" w:w="2880"/>
          </w:tcPr>
          <w:p>
            <w:r>
              <w:t>Hu &amp; Bentler (1999)</w:t>
            </w:r>
          </w:p>
        </w:tc>
      </w:tr>
      <w:tr>
        <w:tc>
          <w:tcPr>
            <w:tcW w:type="dxa" w:w="2880"/>
          </w:tcPr>
          <w:p>
            <w:r>
              <w:t>Lực kiểm định (Power)</w:t>
            </w:r>
          </w:p>
        </w:tc>
        <w:tc>
          <w:tcPr>
            <w:tcW w:type="dxa" w:w="2880"/>
          </w:tcPr>
          <w:p>
            <w:r>
              <w:t>≥ 0.80</w:t>
            </w:r>
          </w:p>
        </w:tc>
        <w:tc>
          <w:tcPr>
            <w:tcW w:type="dxa" w:w="2880"/>
          </w:tcPr>
          <w:p>
            <w:r>
              <w:t>Cohen (1988)</w:t>
            </w:r>
          </w:p>
        </w:tc>
      </w:tr>
    </w:tbl>
    <w:p>
      <w:pPr>
        <w:spacing w:after="120"/>
      </w:pPr>
    </w:p>
    <w:p>
      <w:pPr>
        <w:pStyle w:val="Heading2"/>
      </w:pPr>
      <w:r>
        <w:t>Phụ lục C. Câu hỏi thường gặp</w:t>
      </w:r>
    </w:p>
    <w:p>
      <w:pPr>
        <w:pStyle w:val="Heading3"/>
      </w:pPr>
      <w:r>
        <w:t>Vì sao HTMT lại phù hợp hơn Fornell-Larcker?</w:t>
      </w:r>
    </w:p>
    <w:p>
      <w:r>
        <w:rPr>
          <w:b w:val="0"/>
          <w:i w:val="0"/>
        </w:rPr>
        <w:t>Vì các nghiên cứu mô phỏng của Henseler và cộng sự (2015) cho thấy Fornell-Larcker thường KHÔNG phát hiện được vấn đề thiếu giá trị phân biệt ngay cả khi nó thực sự tồn tại, trong khi HTMT nhạy hơn đáng kể — nên nên báo cáo cả hai, ưu tiên kết luận theo HTMT khi hai chỉ số mâu thuẫn.</w:t>
      </w:r>
    </w:p>
    <w:p>
      <w:pPr>
        <w:pStyle w:val="Heading3"/>
      </w:pPr>
      <w:r>
        <w:t>Bootstrapping bao nhiêu lần là đủ?</w:t>
      </w:r>
    </w:p>
    <w:p>
      <w:r>
        <w:rPr>
          <w:b w:val="0"/>
          <w:i w:val="0"/>
        </w:rPr>
        <w:t>Khuyến nghị tối thiểu 5.000 lần lặp cho kết quả cuối cùng dùng để công bố; số lần thấp hơn (100-1000) chỉ nên dùng khi thử nghiệm nhanh cấu trúc mô hình vì tốc độ chạy nhanh hơn.</w:t>
      </w:r>
    </w:p>
    <w:p>
      <w:pPr>
        <w:pStyle w:val="Heading3"/>
      </w:pPr>
      <w:r>
        <w:t>Khi nào nên chạy Power Analysis / Sensitivity Analysis TRƯỚC khi thu thập dữ liệu thật?</w:t>
      </w:r>
    </w:p>
    <w:p>
      <w:r>
        <w:rPr>
          <w:b w:val="0"/>
          <w:i w:val="0"/>
        </w:rPr>
        <w:t>Nên chạy các công cụ này ở giai đoạn thiết kế nghiên cứu (dùng dữ liệu thí điểm/pilot hoặc mô phỏng) để ước lượng cỡ mẫu cần thu thập, tránh tình huống thu thập xong mới phát hiện cỡ mẫu không đủ lực kiểm định.</w:t>
      </w:r>
    </w:p>
    <w:p>
      <w:pPr>
        <w:pStyle w:val="Heading3"/>
      </w:pPr>
      <w:r>
        <w:t>Báo cáo AI có đáng tin cậy để trích dẫn trực tiếp vào luận văn không?</w:t>
      </w:r>
    </w:p>
    <w:p>
      <w:r>
        <w:rPr>
          <w:b w:val="0"/>
          <w:i w:val="0"/>
        </w:rPr>
        <w:t>Không nên trích dẫn nguyên văn. Báo cáo AI chỉ nên dùng làm bản nháp diễn giải để người nghiên cứu biên tập, đối chiếu lại với số liệu gốc và văn phong học thuật riêng trước khi đưa vào công bố chính thức.</w:t>
      </w:r>
    </w:p>
    <w:p>
      <w:pPr>
        <w:pStyle w:val="Heading2"/>
      </w:pPr>
      <w:r>
        <w:t>Phụ lục D. Tài liệu tham khảo</w:t>
      </w:r>
    </w:p>
    <w:p>
      <w:pPr>
        <w:spacing w:after="120"/>
        <w:ind w:left="567" w:hanging="567"/>
      </w:pPr>
      <w:r>
        <w:t>Aiken, L. S., &amp; West, S. G. (1991). Multiple Regression: Testing and Interpreting Interactions. Sage Publications.</w:t>
      </w:r>
    </w:p>
    <w:p>
      <w:pPr>
        <w:spacing w:after="120"/>
        <w:ind w:left="567" w:hanging="567"/>
      </w:pPr>
      <w:r>
        <w:t>Bagozzi, R. P., &amp; Yi, Y. (1988). On the evaluation of structural equation models. Journal of the Academy of Marketing Science, 16(1), 74-94.</w:t>
      </w:r>
    </w:p>
    <w:p>
      <w:pPr>
        <w:spacing w:after="120"/>
        <w:ind w:left="567" w:hanging="567"/>
      </w:pPr>
      <w:r>
        <w:t>Baron, R. M., &amp; Kenny, D. A. (1986). The moderator-mediator variable distinction in social psychological research. Journal of Personality and Social Psychology, 51(6), 1173-1182.</w:t>
      </w:r>
    </w:p>
    <w:p>
      <w:pPr>
        <w:spacing w:after="120"/>
        <w:ind w:left="567" w:hanging="567"/>
      </w:pPr>
      <w:r>
        <w:t>Bentler, P. M. (1990). Comparative fit indexes in structural models. Psychological Bulletin, 107(2), 238-246.</w:t>
      </w:r>
    </w:p>
    <w:p>
      <w:pPr>
        <w:spacing w:after="120"/>
        <w:ind w:left="567" w:hanging="567"/>
      </w:pPr>
      <w:r>
        <w:t>Breiman, L. (2001). Random forests. Machine Learning, 45(1), 5-32.</w:t>
      </w:r>
    </w:p>
    <w:p>
      <w:pPr>
        <w:spacing w:after="120"/>
        <w:ind w:left="567" w:hanging="567"/>
      </w:pPr>
      <w:r>
        <w:t>Browne, M. W., &amp; Cudeck, R. (1993). Alternative ways of assessing model fit. In K. A. Bollen &amp; J. S. Long (Eds.), Testing Structural Equation Models (pp. 136-162). Sage.</w:t>
      </w:r>
    </w:p>
    <w:p>
      <w:pPr>
        <w:spacing w:after="120"/>
        <w:ind w:left="567" w:hanging="567"/>
      </w:pPr>
      <w:r>
        <w:t>Byrne, B. M. (2016). Structural Equation Modeling with AMOS: Basic Concepts, Applications, and Programming (3rd ed.). Routledge.</w:t>
      </w:r>
    </w:p>
    <w:p>
      <w:pPr>
        <w:spacing w:after="120"/>
        <w:ind w:left="567" w:hanging="567"/>
      </w:pPr>
      <w:r>
        <w:t>Chen, T., &amp; Guestrin, C. (2016). XGBoost: A scalable tree boosting system. Proceedings of the 22nd ACM SIGKDD International Conference on Knowledge Discovery and Data Mining, 785-794.</w:t>
      </w:r>
    </w:p>
    <w:p>
      <w:pPr>
        <w:spacing w:after="120"/>
        <w:ind w:left="567" w:hanging="567"/>
      </w:pPr>
      <w:r>
        <w:t>Chin, W. W. (1998). The partial least squares approach to structural equation modeling. In G. A. Marcoulides (Ed.), Modern Methods for Business Research (pp. 295-336). Lawrence Erlbaum.</w:t>
      </w:r>
    </w:p>
    <w:p>
      <w:pPr>
        <w:spacing w:after="120"/>
        <w:ind w:left="567" w:hanging="567"/>
      </w:pPr>
      <w:r>
        <w:t>Cohen, J. (1988). Statistical Power Analysis for the Behavioral Sciences (2nd ed.). Lawrence Erlbaum Associates.</w:t>
      </w:r>
    </w:p>
    <w:p>
      <w:pPr>
        <w:spacing w:after="120"/>
        <w:ind w:left="567" w:hanging="567"/>
      </w:pPr>
      <w:r>
        <w:t>Faul, F., Erdfelder, E., Lang, A.-G., &amp; Buchner, A. (2007). G*Power 3: A flexible statistical power analysis program. Behavior Research Methods, 39(2), 175-191.</w:t>
      </w:r>
    </w:p>
    <w:p>
      <w:pPr>
        <w:spacing w:after="120"/>
        <w:ind w:left="567" w:hanging="567"/>
      </w:pPr>
      <w:r>
        <w:t>Fornell, C., &amp; Larcker, D. F. (1981). Evaluating structural equation models with unobservable variables and measurement error. Journal of Marketing Research, 18(1), 39-50.</w:t>
      </w:r>
    </w:p>
    <w:p>
      <w:pPr>
        <w:spacing w:after="120"/>
        <w:ind w:left="567" w:hanging="567"/>
      </w:pPr>
      <w:r>
        <w:t>Hair, J. F., Hult, G. T. M., Ringle, C. M., &amp; Sarstedt, M. (2022). A Primer on Partial Least Squares Structural Equation Modeling (PLS-SEM) (3rd ed.). Sage Publications.</w:t>
      </w:r>
    </w:p>
    <w:p>
      <w:pPr>
        <w:spacing w:after="120"/>
        <w:ind w:left="567" w:hanging="567"/>
      </w:pPr>
      <w:r>
        <w:t>Hair, J. F., Risher, J. J., Sarstedt, M., &amp; Ringle, C. M. (2019). When to use and how to report the results of PLS-SEM. European Business Review, 31(1), 2-24.</w:t>
      </w:r>
    </w:p>
    <w:p>
      <w:pPr>
        <w:spacing w:after="120"/>
        <w:ind w:left="567" w:hanging="567"/>
      </w:pPr>
      <w:r>
        <w:t>Hayes, A. F. (2015). An index and test of linear moderated mediation. Multivariate Behavioral Research, 50(1), 1-22.</w:t>
      </w:r>
    </w:p>
    <w:p>
      <w:pPr>
        <w:spacing w:after="120"/>
        <w:ind w:left="567" w:hanging="567"/>
      </w:pPr>
      <w:r>
        <w:t>Hayes, A. F. (2018). Introduction to Mediation, Moderation, and Conditional Process Analysis: A Regression-Based Approach (2nd ed.). Guilford Press.</w:t>
      </w:r>
    </w:p>
    <w:p>
      <w:pPr>
        <w:spacing w:after="120"/>
        <w:ind w:left="567" w:hanging="567"/>
      </w:pPr>
      <w:r>
        <w:t>Henseler, J., Ringle, C. M., &amp; Sarstedt, M. (2015). A new criterion for assessing discriminant validity in variance-based structural equation modeling. Journal of the Academy of Marketing Science, 43(1), 115-135.</w:t>
      </w:r>
    </w:p>
    <w:p>
      <w:pPr>
        <w:spacing w:after="120"/>
        <w:ind w:left="567" w:hanging="567"/>
      </w:pPr>
      <w:r>
        <w:t>Hu, L., &amp; Bentler, P. M. (1999). Cutoff criteria for fit indexes in covariance structure analysis. Structural Equation Modeling, 6(1), 1-55.</w:t>
      </w:r>
    </w:p>
    <w:p>
      <w:pPr>
        <w:spacing w:after="120"/>
        <w:ind w:left="567" w:hanging="567"/>
      </w:pPr>
      <w:r>
        <w:t>Ke, G., Meng, Q., Finley, T., Wang, T., Chen, W., Ma, W., Ye, Q., &amp; Liu, T.-Y. (2017). LightGBM: A highly efficient gradient boosting decision tree. Advances in Neural Information Processing Systems, 30.</w:t>
      </w:r>
    </w:p>
    <w:p>
      <w:pPr>
        <w:spacing w:after="120"/>
        <w:ind w:left="567" w:hanging="567"/>
      </w:pPr>
      <w:r>
        <w:t>Kline, R. B. (2016). Principles and Practice of Structural Equation Modeling (4th ed.). Guilford Press.</w:t>
      </w:r>
    </w:p>
    <w:p>
      <w:pPr>
        <w:spacing w:after="120"/>
        <w:ind w:left="567" w:hanging="567"/>
      </w:pPr>
      <w:r>
        <w:t>Kock, N. (2015). Common method bias in PLS-SEM: A full collinearity assessment approach. International Journal of e-Collaboration, 11(4), 1-10.</w:t>
      </w:r>
    </w:p>
    <w:p>
      <w:pPr>
        <w:spacing w:after="120"/>
        <w:ind w:left="567" w:hanging="567"/>
      </w:pPr>
      <w:r>
        <w:t>Kock, N., &amp; Hadaya, P. (2018). Minimum sample size estimation in PLS-SEM: The inverse square root and gamma-exponential methods. Information Systems Journal, 28(1), 227-261.</w:t>
      </w:r>
    </w:p>
    <w:p>
      <w:pPr>
        <w:spacing w:after="120"/>
        <w:ind w:left="567" w:hanging="567"/>
      </w:pPr>
      <w:r>
        <w:t>Marcoulides, G. A., &amp; Chin, W. W. (2013). You write, but others read: Common methodological misunderstandings in PLS and related methods. In New Perspectives in Partial Least Squares and Related Methods (pp. 31-64). Springer.</w:t>
      </w:r>
    </w:p>
    <w:p>
      <w:pPr>
        <w:spacing w:after="120"/>
        <w:ind w:left="567" w:hanging="567"/>
      </w:pPr>
      <w:r>
        <w:t>Podsakoff, P. M., MacKenzie, S. B., Lee, J. Y., &amp; Podsakoff, N. P. (2003). Common method biases in behavioral research. Journal of Applied Psychology, 88(5), 879-903.</w:t>
      </w:r>
    </w:p>
    <w:p>
      <w:pPr>
        <w:spacing w:after="120"/>
        <w:ind w:left="567" w:hanging="567"/>
      </w:pPr>
      <w:r>
        <w:t>Preacher, K. J., &amp; Hayes, A. F. (2008). Asymptotic and resampling strategies for assessing and comparing indirect effects in multiple mediator models. Behavior Research Methods, 40(3), 879-891.</w:t>
      </w:r>
    </w:p>
    <w:p>
      <w:pPr>
        <w:spacing w:after="120"/>
        <w:ind w:left="567" w:hanging="567"/>
      </w:pPr>
      <w:r>
        <w:t>Prokhorenkova, L., Gusev, G., Vorobev, A., Dorogush, A. V., &amp; Gulin, A. (2018). CatBoost: Unbiased boosting with categorical features. Advances in Neural Information Processing Systems, 31.</w:t>
      </w:r>
    </w:p>
    <w:p>
      <w:pPr>
        <w:spacing w:after="120"/>
        <w:ind w:left="567" w:hanging="567"/>
      </w:pPr>
      <w:r>
        <w:t>Reinartz, W., Haenlein, M., &amp; Henseler, J. (2009). An empirical comparison of the efficacy of covariance-based and variance-based SEM. International Journal of Research in Marketing, 26(4), 332-344.</w:t>
      </w:r>
    </w:p>
    <w:p>
      <w:pPr>
        <w:spacing w:after="120"/>
        <w:ind w:left="567" w:hanging="567"/>
      </w:pPr>
      <w:r>
        <w:t>Ringle, C. M., &amp; Sarstedt, M. (2016). Gain more insight from your PLS-SEM results: The importance-performance map analysis. Industrial Management &amp; Data Systems, 116(9), 1865-1886.</w:t>
      </w:r>
    </w:p>
    <w:p>
      <w:pPr>
        <w:spacing w:after="120"/>
        <w:ind w:left="567" w:hanging="567"/>
      </w:pPr>
      <w:r>
        <w:t>Ringle, C. M., Sarstedt, M., &amp; Straub, D. W. (2012). Editor's comments: A critical look at the use of PLS-SEM in MIS Quarterly. MIS Quarterly, 36(1), iii-xiv.</w:t>
      </w:r>
    </w:p>
    <w:p>
      <w:pPr>
        <w:spacing w:after="120"/>
        <w:ind w:left="567" w:hanging="567"/>
      </w:pPr>
      <w:r>
        <w:t>Ringle, C. M., Wende, S., &amp; Becker, J.-M. (2015). SmartPLS 3. SmartPLS GmbH.</w:t>
      </w:r>
    </w:p>
    <w:p>
      <w:pPr>
        <w:spacing w:after="120"/>
        <w:ind w:left="567" w:hanging="567"/>
      </w:pPr>
      <w:r>
        <w:t>Shmueli, G., Ray, S., Velasquez Estrada, J. M., &amp; Chuan-Ho, S. (2016). The elephant in the room: Predictive performance of PLS models. Journal of Business Research, 69(10), 4552-4564.</w:t>
      </w:r>
    </w:p>
    <w:p>
      <w:pPr>
        <w:spacing w:after="120"/>
        <w:ind w:left="567" w:hanging="567"/>
      </w:pPr>
      <w:r>
        <w:t>Shmueli, G., Sarstedt, M., Hair, J. F., Cheah, J. H., Ting, H., Vaithilingam, S., &amp; Ringle, C. M. (2019). Predictive model assessment in PLS-SEM: Guidelines for using PLSpredict. European Journal of Marketing, 53(11), 2322-2347.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