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300" w:hRule="atLeast"/>
        </w:trPr>
        <w:tc>
          <w:tcPr>
            <w:tcW w:w="10457" w:type="dxa"/>
            <w:tcBorders/>
          </w:tcPr>
          <w:p>
          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/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