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8"/>
        </w:pBdr>
        <w:spacing w:after="0" w:before="600"/>
      </w:pPr>
      <w:r>
        <w:rPr>
          <w:color w:val="888888"/>
          <w:sz w:val="18"/>
          <w:szCs w:val="18"/>
        </w:rPr>
        <w:t xml:space="preserve">실습용 더미 보고서 (DUMMY · 교육 전용)</w:t>
      </w:r>
    </w:p>
    <w:p>
      <w:pPr>
        <w:spacing w:after="100" w:before="360"/>
      </w:pPr>
      <w:r>
        <w:rPr>
          <w:b/>
          <w:bCs/>
          <w:color w:val="1F3A5F"/>
          <w:sz w:val="44"/>
          <w:szCs w:val="44"/>
        </w:rPr>
        <w:t xml:space="preserve">연구데이터 관리체계(RDM) 고도화 사업 결과보고서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2025년도 국가연구데이터플랫폼 연계 강화 사업</w:t>
      </w:r>
    </w:p>
    <w:p>
      <w:pPr>
        <w:spacing w:after="60"/>
      </w:pPr>
      <w:r>
        <w:rPr>
          <w:sz w:val="20"/>
          <w:szCs w:val="20"/>
        </w:rPr>
        <w:t xml:space="preserve">한국과학기술정보연구원(KISTI) 연구데이터센터</w:t>
      </w:r>
    </w:p>
    <w:p>
      <w:pPr>
        <w:spacing w:after="0"/>
      </w:pPr>
      <w:r>
        <w:rPr>
          <w:color w:val="888888"/>
          <w:sz w:val="18"/>
          <w:szCs w:val="18"/>
        </w:rPr>
        <w:t xml:space="preserve">발행일: 2026. 6.   ·   문서번호: KISTI-EDU-DUMMY</w:t>
      </w:r>
    </w:p>
    <w:p>
      <w:pPr>
        <w:pBdr>
          <w:bottom w:val="single" w:color="2E75B6" w:sz="6" w:space="8"/>
        </w:pBdr>
        <w:spacing w:after="240" w:before="240"/>
      </w:pPr>
      <w:r>
        <w:t xml:space="preserve"/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※ 본 문서는 AI 시각화 실습을 위해 가공한 가상 자료입니다. 수치·기관 정보는 실제와 무관합니다.</w:t>
      </w:r>
    </w:p>
    <w:p>
      <w:pPr>
        <w:pStyle w:val="Heading1"/>
      </w:pPr>
      <w:r>
        <w:t xml:space="preserve">1. 사업 개요</w:t>
      </w:r>
    </w:p>
    <w:p>
      <w:pPr>
        <w:spacing w:after="120" w:line="288"/>
      </w:pPr>
      <w:r>
        <w:t xml:space="preserve">본 사업은 기관 내 연구데이터를 생애주기 전 단계에 걸쳐 체계적으로 관리하고, 외부 재사용이 가능한 형태로 공개·연계하기 위해 추진되었다. 추진 기간은 2025년 3월부터 12월까지이며, 데이터 등록·표준화·개방의 세 축을 중심으로 진행되었다.</w:t>
      </w:r>
    </w:p>
    <w:p>
      <w:pPr>
        <w:spacing w:after="120" w:line="288"/>
      </w:pPr>
      <w:r>
        <w:t xml:space="preserve">특히 연구 현장의 데이터 관리 부담을 낮추면서도 데이터의 발견 가능성과 재사용성을 높이는 것을 핵심 목표로 삼았다.</w:t>
      </w:r>
    </w:p>
    <w:p>
      <w:pPr>
        <w:pStyle w:val="Heading1"/>
      </w:pPr>
      <w:r>
        <w:t xml:space="preserve">2. 연구데이터 생애주기 5단계 관리 프로세스</w:t>
      </w:r>
    </w:p>
    <w:p>
      <w:pPr>
        <w:spacing w:after="120" w:line="288"/>
      </w:pPr>
      <w:r>
        <w:t xml:space="preserve">연구데이터는 아래 5단계 흐름에 따라 관리된다. 각 단계는 직전 단계의 산출물을 입력으로 받아 다음 단계로 이어진다.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계획 수립 — 데이터 관리계획(DMP)을 작성하고 수집 범위·표준·보안 등급을 사전에 정의한다.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수집·생성 — 실험·관측·시뮬레이션을 통해 원시 데이터를 확보하고 메타데이터를 함께 기록한다.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처리·분석 — 정제·변환·분석을 거쳐 활용 가능한 형태의 데이터셋으로 가공한다.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보존·관리 — 표준 포맷으로 장기 보존하고 접근 권한과 버전을 관리한다.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공유·활용 — 플랫폼에 등록·공개하여 내·외부의 재사용과 인용을 가능하게 한다.</w:t>
      </w:r>
    </w:p>
    <w:p>
      <w:pPr>
        <w:pStyle w:val="Heading1"/>
      </w:pPr>
      <w:r>
        <w:t xml:space="preserve">3. 핵심 운영 원칙</w:t>
      </w:r>
    </w:p>
    <w:p>
      <w:pPr>
        <w:pStyle w:val="Heading2"/>
      </w:pPr>
      <w:r>
        <w:t xml:space="preserve">3.1 FAIR 원칙</w:t>
      </w:r>
    </w:p>
    <w:p>
      <w:pPr>
        <w:spacing w:after="120" w:line="288"/>
      </w:pPr>
      <w:r>
        <w:t xml:space="preserve">모든 데이터셋은 다음 네 가지 원칙을 충족하도록 관리한다.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Findable(검색가능) — 고유 식별자와 표준 메타데이터로 찾을 수 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Accessible(접근가능) — 명확한 권한 체계 아래 접근·내려받기가 가능하다.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Interoperable(상호운용) — 표준 포맷·용어로 다른 시스템과 연계된다.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Reusable(재사용) — 라이선스와 출처가 명시되어 재사용할 수 있다.</w:t>
      </w:r>
    </w:p>
    <w:p>
      <w:pPr>
        <w:pStyle w:val="Heading2"/>
      </w:pPr>
      <w:r>
        <w:t xml:space="preserve">3.2 3대 추진 원칙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관리의 내재화 — 데이터 관리를 연구 과정의 일부로 흡수한다.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개방과 보안의 균형 — 공개 가치와 보호 필요성을 등급으로 구분해 운영한다.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표준 준수 — 기관·국가·국제 표준을 일관되게 따른다.</w:t>
      </w:r>
    </w:p>
    <w:p>
      <w:pPr>
        <w:pStyle w:val="Heading1"/>
      </w:pPr>
      <w:r>
        <w:t xml:space="preserve">4. 주요 성과</w:t>
      </w:r>
    </w:p>
    <w:p>
      <w:pPr>
        <w:spacing w:after="120" w:line="288"/>
      </w:pPr>
      <w:r>
        <w:t xml:space="preserve">2025년도 사업을 통해 확보한 핵심 성과 지표는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값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등록 데이터셋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1,240건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참여 연구실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87개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외부 재사용 건수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3,910건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메타데이터 표준화율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92%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pStyle w:val="Heading1"/>
      </w:pPr>
      <w:r>
        <w:t xml:space="preserve">5. 데이터 유형별 구성비</w:t>
      </w:r>
    </w:p>
    <w:p>
      <w:pPr>
        <w:spacing w:after="120" w:line="288"/>
      </w:pPr>
      <w:r>
        <w:t xml:space="preserve">등록된 데이터셋을 생성 방식에 따라 분류한 구성비는 다음과 같다. 실험 데이터의 비중이 가장 크다.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값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실험 데이터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41%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관측 데이터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27%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시뮬레이션 데이터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19%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기타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13%</w:t>
            </w:r>
          </w:p>
        </w:tc>
      </w:tr>
    </w:tbl>
    <w:p>
      <w:pPr>
        <w:spacing w:after="120" w:line="288"/>
      </w:pPr>
      <w:r>
        <w:t xml:space="preserve"/>
      </w:r>
    </w:p>
    <w:p>
      <w:pPr>
        <w:pStyle w:val="Heading1"/>
      </w:pPr>
      <w:r>
        <w:t xml:space="preserve">6. 향후 계획</w:t>
      </w:r>
    </w:p>
    <w:p>
      <w:pPr>
        <w:spacing w:after="120" w:line="288"/>
      </w:pPr>
      <w:r>
        <w:t xml:space="preserve">2026년에는 데이터 품질 검증 자동화와 외부 기관 연계 확대를 중점적으로 추진한다. 또한 연구자 대상 데이터 관리 역량 강화 교육을 정례화하여 관리의 내재화를 가속한다.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2026-06-13T14:35:32.701Z</dcterms:created>
  <dcterms:modified xsi:type="dcterms:W3CDTF">2026-06-13T14:35:32.701Z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