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2E75B6" w:sz="6" w:space="8"/>
        </w:pBdr>
        <w:spacing w:after="0" w:before="600"/>
      </w:pPr>
      <w:r>
        <w:rPr>
          <w:color w:val="888888"/>
          <w:sz w:val="18"/>
          <w:szCs w:val="18"/>
        </w:rPr>
        <w:t xml:space="preserve">실습용 더미 보고서 (DUMMY · 교육 전용)</w:t>
      </w:r>
    </w:p>
    <w:p>
      <w:pPr>
        <w:spacing w:after="100" w:before="360"/>
      </w:pPr>
      <w:r>
        <w:rPr>
          <w:b/>
          <w:bCs/>
          <w:color w:val="1F3A5F"/>
          <w:sz w:val="44"/>
          <w:szCs w:val="44"/>
        </w:rPr>
        <w:t xml:space="preserve">2026 연구지원 행정서비스 개선 추진 결과</w:t>
      </w:r>
    </w:p>
    <w:p>
      <w:pPr>
        <w:spacing w:after="240"/>
      </w:pPr>
      <w:r>
        <w:rPr>
          <w:color w:val="555555"/>
          <w:sz w:val="24"/>
          <w:szCs w:val="24"/>
        </w:rPr>
        <w:t xml:space="preserve">연구자 행정부담 경감 종합대책</w:t>
      </w:r>
    </w:p>
    <w:p>
      <w:pPr>
        <w:spacing w:after="60"/>
      </w:pPr>
      <w:r>
        <w:rPr>
          <w:sz w:val="20"/>
          <w:szCs w:val="20"/>
        </w:rPr>
        <w:t xml:space="preserve">한국과학기술정보연구원(KISTI) 연구지원본부</w:t>
      </w:r>
    </w:p>
    <w:p>
      <w:pPr>
        <w:spacing w:after="0"/>
      </w:pPr>
      <w:r>
        <w:rPr>
          <w:color w:val="888888"/>
          <w:sz w:val="18"/>
          <w:szCs w:val="18"/>
        </w:rPr>
        <w:t xml:space="preserve">발행일: 2026. 6.   ·   문서번호: KISTI-EDU-DUMMY</w:t>
      </w:r>
    </w:p>
    <w:p>
      <w:pPr>
        <w:pBdr>
          <w:bottom w:val="single" w:color="2E75B6" w:sz="6" w:space="8"/>
        </w:pBdr>
        <w:spacing w:after="240" w:before="240"/>
      </w:pPr>
      <w:r>
        <w:t xml:space="preserve"/>
      </w:r>
    </w:p>
    <w:p>
      <w:pPr>
        <w:spacing w:after="200"/>
      </w:pPr>
      <w:r>
        <w:rPr>
          <w:i/>
          <w:iCs/>
          <w:color w:val="888888"/>
          <w:sz w:val="18"/>
          <w:szCs w:val="18"/>
        </w:rPr>
        <w:t xml:space="preserve">※ 본 문서는 AI 시각화 실습을 위해 가공한 가상 자료입니다. 수치·기관 정보는 실제와 무관합니다.</w:t>
      </w:r>
    </w:p>
    <w:p>
      <w:pPr>
        <w:pStyle w:val="Heading1"/>
      </w:pPr>
      <w:r>
        <w:t xml:space="preserve">1. 추진 배경</w:t>
      </w:r>
    </w:p>
    <w:p>
      <w:pPr>
        <w:spacing w:after="120" w:line="288"/>
      </w:pPr>
      <w:r>
        <w:t xml:space="preserve">연구자가 행정 절차에 소모하는 시간을 줄여 연구 본연의 활동에 집중할 수 있도록, 신청·증빙·예약·문의 전 과정을 디지털 중심으로 재설계하였다. 기존에는 절차가 부서별로 분산되어 있어 처리 지연과 중복 제출이 빈번하였다.</w:t>
      </w:r>
    </w:p>
    <w:p>
      <w:pPr>
        <w:pStyle w:val="Heading1"/>
      </w:pPr>
      <w:r>
        <w:t xml:space="preserve">2. 핵심 변경 사항</w:t>
      </w:r>
    </w:p>
    <w:p>
      <w:pPr>
        <w:spacing w:after="120" w:line="288"/>
      </w:pPr>
      <w:r>
        <w:t xml:space="preserve">이번 개선으로 달라진 네 가지 핵심 사항은 다음과 같다.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출장 신청 기한을 출발 7일 전에서 3일 전으로 단축하고 통합 포털에서 한 번에 처리한다.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연구비 증빙의 종이 제출을 폐지하고 전자 업로드로 일원화한다.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장비 예약을 모바일 앱에서 실시간으로 처리하고 즉시 알림을 제공한다.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행정 문의 창구를 단일 창구로 통합하여 담당자를 찾는 시간을 없앤다.</w:t>
      </w:r>
    </w:p>
    <w:p>
      <w:pPr>
        <w:pStyle w:val="Heading1"/>
      </w:pPr>
      <w:r>
        <w:t xml:space="preserve">3. 서비스 개선 4단계 추진 프로세스</w:t>
      </w:r>
    </w:p>
    <w:p>
      <w:pPr>
        <w:spacing w:after="120" w:line="288"/>
      </w:pPr>
      <w:r>
        <w:t xml:space="preserve">개선 과제는 다음 4단계로 추진되었다.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현황 진단 — 절차별 소요 시간과 병목 지점을 측정한다.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절차 재설계 — 중복 단계를 제거하고 승인 흐름을 단순화한다.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시스템 구축 — 통합 포털과 모바일 앱을 개발·연계한다.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확산·정착 — 전 부서로 확대하고 만족도를 점검해 보완한다.</w:t>
      </w:r>
    </w:p>
    <w:p>
      <w:pPr>
        <w:pStyle w:val="Heading1"/>
      </w:pPr>
      <w:r>
        <w:t xml:space="preserve">4. 주요 성과</w:t>
      </w:r>
    </w:p>
    <w:p>
      <w:pPr>
        <w:spacing w:after="120" w:line="288"/>
      </w:pPr>
      <w:r>
        <w:t xml:space="preserve">개선 후 측정한 핵심 성과 지표는 다음과 같다.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3626"/>
      </w:tblGrid>
      <w:tr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항목</w:t>
            </w:r>
          </w:p>
        </w:tc>
        <w:tc>
          <w:tcPr>
            <w:tcW w:type="dxa" w:w="3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값</w:t>
            </w:r>
          </w:p>
        </w:tc>
      </w:tr>
      <w:tr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평균 처리시간</w:t>
            </w:r>
          </w:p>
        </w:tc>
        <w:tc>
          <w:tcPr>
            <w:tcW w:type="dxa" w:w="3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5.2일 → 1.8일 (65%↓)</w:t>
            </w:r>
          </w:p>
        </w:tc>
      </w:tr>
      <w:tr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연구자 만족도</w:t>
            </w:r>
          </w:p>
        </w:tc>
        <w:tc>
          <w:tcPr>
            <w:tcW w:type="dxa" w:w="3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88점</w:t>
            </w:r>
          </w:p>
        </w:tc>
      </w:tr>
      <w:tr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연간 처리 건수</w:t>
            </w:r>
          </w:p>
        </w:tc>
        <w:tc>
          <w:tcPr>
            <w:tcW w:type="dxa" w:w="3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24,600건</w:t>
            </w:r>
          </w:p>
        </w:tc>
      </w:tr>
      <w:tr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종이문서 절감률</w:t>
            </w:r>
          </w:p>
        </w:tc>
        <w:tc>
          <w:tcPr>
            <w:tcW w:type="dxa" w:w="3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73%</w:t>
            </w:r>
          </w:p>
        </w:tc>
      </w:tr>
    </w:tbl>
    <w:p>
      <w:pPr>
        <w:spacing w:after="120" w:line="288"/>
      </w:pPr>
      <w:r>
        <w:t xml:space="preserve"/>
      </w:r>
    </w:p>
    <w:p>
      <w:pPr>
        <w:pStyle w:val="Heading1"/>
      </w:pPr>
      <w:r>
        <w:t xml:space="preserve">5. 서비스 유형별 이용 비중</w:t>
      </w:r>
    </w:p>
    <w:p>
      <w:pPr>
        <w:spacing w:after="120" w:line="288"/>
      </w:pPr>
      <w:r>
        <w:t xml:space="preserve">연간 처리 건수를 서비스 유형별로 분류한 비중은 다음과 같다. 출장·여비 처리가 가장 큰 비중을 차지한다.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3626"/>
      </w:tblGrid>
      <w:tr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항목</w:t>
            </w:r>
          </w:p>
        </w:tc>
        <w:tc>
          <w:tcPr>
            <w:tcW w:type="dxa" w:w="3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값</w:t>
            </w:r>
          </w:p>
        </w:tc>
      </w:tr>
      <w:tr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출장·여비</w:t>
            </w:r>
          </w:p>
        </w:tc>
        <w:tc>
          <w:tcPr>
            <w:tcW w:type="dxa" w:w="3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34%</w:t>
            </w:r>
          </w:p>
        </w:tc>
      </w:tr>
      <w:tr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연구비 집행</w:t>
            </w:r>
          </w:p>
        </w:tc>
        <w:tc>
          <w:tcPr>
            <w:tcW w:type="dxa" w:w="3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28%</w:t>
            </w:r>
          </w:p>
        </w:tc>
      </w:tr>
      <w:tr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장비·구매</w:t>
            </w:r>
          </w:p>
        </w:tc>
        <w:tc>
          <w:tcPr>
            <w:tcW w:type="dxa" w:w="3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22%</w:t>
            </w:r>
          </w:p>
        </w:tc>
      </w:tr>
      <w:tr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기타</w:t>
            </w:r>
          </w:p>
        </w:tc>
        <w:tc>
          <w:tcPr>
            <w:tcW w:type="dxa" w:w="3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16%</w:t>
            </w:r>
          </w:p>
        </w:tc>
      </w:tr>
    </w:tbl>
    <w:p>
      <w:pPr>
        <w:spacing w:after="120" w:line="288"/>
      </w:pPr>
      <w:r>
        <w:t xml:space="preserve"/>
      </w:r>
    </w:p>
    <w:p>
      <w:pPr>
        <w:pStyle w:val="Heading1"/>
      </w:pPr>
      <w:r>
        <w:t xml:space="preserve">6. 기대 효과</w:t>
      </w:r>
    </w:p>
    <w:p>
      <w:pPr>
        <w:spacing w:after="120" w:line="288"/>
      </w:pPr>
      <w:r>
        <w:t xml:space="preserve">연구자 1인당 연간 행정 소요 시간을 약 40% 절감할 것으로 기대된다. 절감된 시간은 연구 활동에 재투입되며, 종이 사용 감소로 운영 비용 또한 줄어든다.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Malgun Gothic" w:cs="Malgun Gothic" w:eastAsia="Malgun Gothic" w:hAnsi="Malgun Gothic"/>
      <w:b/>
      <w:bCs/>
      <w:color w:val="1F3A5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Malgun Gothic" w:cs="Malgun Gothic" w:eastAsia="Malgun Gothic" w:hAnsi="Malgun Gothic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2026-06-13T14:35:32.727Z</dcterms:created>
  <dcterms:modified xsi:type="dcterms:W3CDTF">2026-06-13T14:35:32.727Z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