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Poppins" w:cs="Poppins" w:eastAsia="Poppins" w:hAnsi="Poppins"/>
          <w:b/>
          <w:bCs/>
          <w:color w:val="007AFF"/>
          <w:spacing w:val="60"/>
          <w:sz w:val="96"/>
          <w:szCs w:val="96"/>
        </w:rPr>
        <w:t xml:space="preserve">THINKLENS</w:t>
      </w:r>
    </w:p>
    <w:p>
      <w:pPr>
        <w:spacing w:after="600"/>
      </w:pPr>
      <w:r>
        <w:rPr>
          <w:rFonts w:ascii="Poppins" w:cs="Poppins" w:eastAsia="Poppins" w:hAnsi="Poppins"/>
          <w:color w:val="141413"/>
          <w:sz w:val="40"/>
          <w:szCs w:val="40"/>
        </w:rPr>
        <w:t xml:space="preserve">Brand Guidelines</w:t>
      </w:r>
    </w:p>
    <w:p>
      <w:pPr>
        <w:spacing w:after="200"/>
      </w:pPr>
      <w:r>
        <w:rPr>
          <w:rFonts w:ascii="Lora" w:cs="Lora" w:eastAsia="Lora" w:hAnsi="Lora"/>
          <w:i/>
          <w:iCs/>
          <w:color w:val="636366"/>
          <w:sz w:val="24"/>
          <w:szCs w:val="24"/>
        </w:rPr>
        <w:t xml:space="preserve">Data Precision. Global Scale.</w:t>
      </w:r>
    </w:p>
    <w:p>
      <w:pPr>
        <w:spacing w:before="4800"/>
      </w:pPr>
      <w:r>
        <w:rPr>
          <w:rFonts w:ascii="Arial" w:cs="Arial" w:eastAsia="Arial" w:hAnsi="Arial"/>
          <w:color w:val="636366"/>
          <w:spacing w:val="20"/>
          <w:sz w:val="18"/>
          <w:szCs w:val="18"/>
        </w:rPr>
        <w:t xml:space="preserve">Version 1.0  ·  June 2026  ·  Thinklens Consulting LLP</w:t>
      </w:r>
    </w:p>
    <w:p>
      <w:r>
        <w:br w:type="page"/>
      </w:r>
    </w:p>
    <w:p>
      <w:pPr>
        <w:pStyle w:val="Heading1"/>
      </w:pPr>
      <w:r>
        <w:t xml:space="preserve">Brand at a glance</w:t>
      </w:r>
    </w:p>
    <w:p>
      <w:pPr>
        <w:spacing w:after="120"/>
      </w:pPr>
      <w:r>
        <w:rPr>
          <w:rFonts w:ascii="Lora" w:cs="Lora" w:eastAsia="Lora" w:hAnsi="Lora"/>
          <w:sz w:val="22"/>
          <w:szCs w:val="22"/>
        </w:rPr>
        <w:t xml:space="preserve">Thinklens is a dark-mode-first identity built around a single brand colour (Apple Blue), two typefaces, and a small, disciplined motion language. The principles below are derived from the live thinklens.in website and should be treated as the source of truth for any new surface — marketing, sales, product, or internal.</w:t>
      </w:r>
    </w:p>
    <w:p>
      <w:pPr>
        <w:spacing w:after="80" w:before="200"/>
      </w:pPr>
      <w:r>
        <w:rPr>
          <w:b/>
          <w:bCs/>
          <w:color w:val="007AFF"/>
          <w:spacing w:val="40"/>
          <w:sz w:val="18"/>
          <w:szCs w:val="18"/>
        </w:rPr>
        <w:t xml:space="preserve">BRAND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Precision over flourish</w:t>
      </w:r>
      <w:r>
        <w:rPr>
          <w:rFonts w:ascii="Lora" w:cs="Lora" w:eastAsia="Lora" w:hAnsi="Lora"/>
          <w:sz w:val="22"/>
          <w:szCs w:val="22"/>
        </w:rPr>
        <w:t xml:space="preserve"> — short clauses, sharp grids, single-colour accents.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Quiet confidence</w:t>
      </w:r>
      <w:r>
        <w:rPr>
          <w:rFonts w:ascii="Lora" w:cs="Lora" w:eastAsia="Lora" w:hAnsi="Lora"/>
          <w:sz w:val="22"/>
          <w:szCs w:val="22"/>
        </w:rPr>
        <w:t xml:space="preserve"> — we don’t shout. We let credentials and outcomes do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The silent partner</w:t>
      </w:r>
      <w:r>
        <w:rPr>
          <w:rFonts w:ascii="Lora" w:cs="Lora" w:eastAsia="Lora" w:hAnsi="Lora"/>
          <w:sz w:val="22"/>
          <w:szCs w:val="22"/>
        </w:rPr>
        <w:t xml:space="preserve"> — an invisible extension of our clients’ teams. Our brand never competes with theirs.</w:t>
      </w:r>
    </w:p>
    <w:p>
      <w:r>
        <w:br w:type="page"/>
      </w:r>
    </w:p>
    <w:p>
      <w:pPr>
        <w:pStyle w:val="Heading1"/>
      </w:pPr>
      <w:r>
        <w:t xml:space="preserve">1 · Logo</w:t>
      </w:r>
    </w:p>
    <w:p>
      <w:pPr>
        <w:spacing w:after="120"/>
      </w:pPr>
      <w:r>
        <w:rPr>
          <w:rFonts w:ascii="Lora" w:cs="Lora" w:eastAsia="Lora" w:hAnsi="Lora"/>
          <w:sz w:val="22"/>
          <w:szCs w:val="22"/>
        </w:rPr>
        <w:t xml:space="preserve">The Thinklens mark is a stroked ring with a solid blue inner core and three satellite dots: two on opposing diagonals and a third hovering above the wordmark’s letter "i". The three satellite dots are the brand signature.</w:t>
      </w:r>
    </w:p>
    <w:p>
      <w:pPr>
        <w:pStyle w:val="Heading2"/>
      </w:pPr>
      <w:r>
        <w:t xml:space="preserve">Construction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Stroked outer ring · stroke-width 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Solid inner core in Apple Blue (#007AFF)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satellite dots in Apple Blue, sized to roughly 20% of the ring radius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Wordmark in Plus Jakarta Sans, weight 800, tracked tight (-0.04em)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three dots pulse softly on a 3.2-second loop, staggered by 1.1s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dark backgrounds: wordmark white, ring stroke white, dots blue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light backgrounds: wordmark and ring in #636366, dots remain blue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dots are always Apple Blue regardless of context</w:t>
      </w:r>
    </w:p>
    <w:p>
      <w:pPr>
        <w:pStyle w:val="Heading2"/>
      </w:pPr>
      <w:r>
        <w:t xml:space="preserve">Clear space &amp; sizing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clear space around the mark: one dot-radius on every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display height: 28px (footer), 34px (navigation)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Below 28px, switch to the favicon variant — the satellite dots become muddy at smaller sizes</w:t>
      </w:r>
    </w:p>
    <w:p>
      <w:r>
        <w:br w:type="page"/>
      </w:r>
    </w:p>
    <w:p>
      <w:pPr>
        <w:pStyle w:val="Heading1"/>
      </w:pPr>
      <w:r>
        <w:t xml:space="preserve">2 · Colour</w:t>
      </w:r>
    </w:p>
    <w:p>
      <w:pPr>
        <w:spacing w:after="120"/>
      </w:pPr>
      <w:r>
        <w:rPr>
          <w:rFonts w:ascii="Lora" w:cs="Lora" w:eastAsia="Lora" w:hAnsi="Lora"/>
          <w:sz w:val="22"/>
          <w:szCs w:val="22"/>
        </w:rPr>
        <w:t xml:space="preserve">Apple Blue is the single brand colour. Use it boldly, sparingly, and never paired with a second hue. If text is solid or a stroke is visible at 1px, it is #007AFF. The lighter tints exist only behind blur or below 30% opacity.</w:t>
      </w:r>
    </w:p>
    <w:p>
      <w:pPr>
        <w:pStyle w:val="Heading2"/>
      </w:pPr>
      <w:r>
        <w:t xml:space="preserve">Brand Blue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--accent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#007AFF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Brand. All accent text, dots, buttons, focus rings, icons.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--accent2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8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#1F86FF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Button hover ONLY — a barely-perceptible lift.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--accent3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DA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#4DA2FF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Reserved for blurred glows and ambient blobs. Never solid text.</w:t>
            </w:r>
          </w:p>
        </w:tc>
      </w:tr>
    </w:tbl>
    <w:p>
      <w:pPr>
        <w:pStyle w:val="Heading2"/>
      </w:pPr>
      <w:r>
        <w:t xml:space="preserve">Neutrals (dark-mode palette)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--bg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#0A0A0A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--surface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11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#111113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Alternating section background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--card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#161618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Cards, form fields, social chips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--card-hi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#1C1C20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Card hover state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--white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Display headlines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--g100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#E8E8ED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Body emphasis (&lt;b&gt;)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--g200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7C7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#C7C7CC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Default body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--g300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EAEB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#AEAEB2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Long-form prose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--g400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E8E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#8E8E93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Captions, secondary navigation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--g500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3636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#636366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Eyebrows, footer copy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3"/>
                <w:sz w:val="20"/>
                <w:szCs w:val="20"/>
              </w:rPr>
              <w:t xml:space="preserve">--g600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848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#48484A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Unlit kinetic text, decorative numerals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Lora" w:cs="Lora" w:eastAsia="Lora" w:hAnsi="Lora"/>
          <w:i/>
          <w:iCs/>
          <w:sz w:val="22"/>
          <w:szCs w:val="22"/>
        </w:rPr>
        <w:t xml:space="preserve">Borders: rgba(255,255,255,0.08) default and rgba(255,255,255,0.16) at hover.</w:t>
      </w:r>
    </w:p>
    <w:p>
      <w:pPr>
        <w:spacing w:after="120"/>
      </w:pPr>
      <w:r>
        <w:rPr>
          <w:rFonts w:ascii="Lora" w:cs="Lora" w:eastAsia="Lora" w:hAnsi="Lora"/>
          <w:i/>
          <w:iCs/>
          <w:sz w:val="22"/>
          <w:szCs w:val="22"/>
        </w:rPr>
        <w:t xml:space="preserve">Thinklens does not have a defined light-mode palette. The marketing surface is dark-mode-first.</w:t>
      </w:r>
    </w:p>
    <w:p>
      <w:r>
        <w:br w:type="page"/>
      </w:r>
    </w:p>
    <w:p>
      <w:pPr>
        <w:pStyle w:val="Heading1"/>
      </w:pPr>
      <w:r>
        <w:t xml:space="preserve">3 · Typography</w:t>
      </w:r>
    </w:p>
    <w:p>
      <w:pPr>
        <w:spacing w:after="120"/>
      </w:pPr>
      <w:r>
        <w:rPr>
          <w:rFonts w:ascii="Lora" w:cs="Lora" w:eastAsia="Lora" w:hAnsi="Lora"/>
          <w:sz w:val="22"/>
          <w:szCs w:val="22"/>
        </w:rPr>
        <w:t xml:space="preserve">Two families. No exceptions. Plus Jakarta Sans handles display. Inter handles everything else.</w:t>
      </w:r>
    </w:p>
    <w:p>
      <w:pPr>
        <w:pStyle w:val="Heading2"/>
      </w:pPr>
      <w:r>
        <w:t xml:space="preserve">Display — Plus Jakarta Sans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Weights: 700, 800 (Extra Bold)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Letter-spacing: -0.04em (tight)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Line-height: 1.05 – 1.15 (tight)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Uses: H1, all H2, stat numerals, sector numbers, card titles, marquee strip</w:t>
      </w:r>
    </w:p>
    <w:p>
      <w:pPr>
        <w:pStyle w:val="Heading2"/>
      </w:pPr>
      <w:r>
        <w:t xml:space="preserve">Body — Inter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Weights: 400, 500, 600, 700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Line-height: 1.75 – 1.85 for long-form prose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Uses: paragraphs, navigation, buttons, labels, form fields, eyebrows</w:t>
      </w:r>
    </w:p>
    <w:p>
      <w:pPr>
        <w:pStyle w:val="Heading2"/>
      </w:pPr>
      <w:r>
        <w:t xml:space="preserve">Type scale (fluid)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(CSS clamp)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Hero H1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clamp(3rem, 7.5vw, 7rem)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Section H2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clamp(2rem, 3.8vw, 3.4rem)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CTA H2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clamp(2.4rem, 5vw, 4.2rem)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Kinetic prose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clamp(2rem, 4.5vw, 4rem)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0.95 – 1.1 rem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Eyebrow / caps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0.62 – 0.72 rem, letter-spacing 0.12 – 0.2em, uppercase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Lora" w:cs="Lora" w:eastAsia="Lora" w:hAnsi="Lora"/>
          <w:i/>
          <w:iCs/>
          <w:sz w:val="22"/>
          <w:szCs w:val="22"/>
        </w:rPr>
        <w:t xml:space="preserve">Eyebrows always sit above headlines and are prefixed with an 18 – 20px Apple Blue horizontal rule.</w:t>
      </w:r>
    </w:p>
    <w:p>
      <w:r>
        <w:br w:type="page"/>
      </w:r>
    </w:p>
    <w:p>
      <w:pPr>
        <w:pStyle w:val="Heading1"/>
      </w:pPr>
      <w:r>
        <w:t xml:space="preserve">4 ·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sz w:val="22"/>
          <w:szCs w:val="22"/>
        </w:rPr>
        <w:t xml:space="preserve">Maximum content width: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1120 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sz w:val="22"/>
          <w:szCs w:val="22"/>
        </w:rPr>
        <w:t xml:space="preserve">Side gutters: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 px desktop, 24 px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sz w:val="22"/>
          <w:szCs w:val="22"/>
        </w:rPr>
        <w:t xml:space="preserve">Vertical section rhythm: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120 – 160 px padding-top/bottom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sz w:val="22"/>
          <w:szCs w:val="22"/>
        </w:rPr>
        <w:t xml:space="preserve">Grid lines: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rgba(255,255,255,0.025) at 60×60px, masked to a soft radial vignette</w:t>
      </w:r>
    </w:p>
    <w:p>
      <w:pPr>
        <w:pStyle w:val="Heading1"/>
      </w:pPr>
      <w:r>
        <w:t xml:space="preserve">5 · Iconography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Stroked SVG only — stroke-width 1.8, stroke-linecap round, stroke-linejoin 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Stroke colour: --accent (#007AFF). Never the lighter tints.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 in a 42 – 56px rounded square with a subtle blue-tinted gradient fill and a 1px blue border at 20% opacity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hover: scale ~1.06 and rotate -4° to -6° (playful, contained)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mix emoji and stroked icons in the same component</w:t>
      </w:r>
    </w:p>
    <w:p>
      <w:pPr>
        <w:pStyle w:val="Heading1"/>
      </w:pPr>
      <w:r>
        <w:t xml:space="preserve">6 · Motion</w:t>
      </w:r>
    </w:p>
    <w:p>
      <w:pPr>
        <w:spacing w:after="120"/>
      </w:pPr>
      <w:r>
        <w:rPr>
          <w:rFonts w:ascii="Lora" w:cs="Lora" w:eastAsia="Lora" w:hAnsi="Lora"/>
          <w:sz w:val="22"/>
          <w:szCs w:val="22"/>
        </w:rPr>
        <w:t xml:space="preserve">The brand’s motion language is slow, sprung, and ambient.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Curve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/ when to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Standard ease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cubic-bezier(.25, .1, .25, 1) — fades, colour shifts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Spring ease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cubic-bezier(.34, 1.4, .64, 1) — hover lifts, button taps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Lora" w:cs="Lora" w:eastAsia="Lora" w:hAnsi="Lora"/>
                <w:b w:val="false"/>
                <w:bCs w:val="false"/>
                <w:color w:val="141413"/>
                <w:sz w:val="20"/>
                <w:szCs w:val="20"/>
              </w:rPr>
              <w:t xml:space="preserve">Slow spring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3"/>
                <w:sz w:val="20"/>
                <w:szCs w:val="20"/>
              </w:rPr>
              <w:t xml:space="preserve">cubic-bezier(.16, 1, .3, 1) — reveal-on-scroll, cascades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lifts are always -2px translateY — never larger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Button shimmer sweep: 700ms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Ripple on click: 650ms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reveals stagger 100 – 120ms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dots breathe on a 3.2-second loop</w:t>
      </w:r>
    </w:p>
    <w:p>
      <w:pPr>
        <w:spacing w:after="120"/>
      </w:pPr>
      <w:r>
        <w:rPr>
          <w:rFonts w:ascii="Lora" w:cs="Lora" w:eastAsia="Lora" w:hAnsi="Lora"/>
          <w:b/>
          <w:bCs/>
          <w:i/>
          <w:iCs/>
          <w:sz w:val="22"/>
          <w:szCs w:val="22"/>
        </w:rPr>
        <w:t xml:space="preserve">Reduced-motion users see everything instantly. No exceptions.</w:t>
      </w:r>
    </w:p>
    <w:p>
      <w:r>
        <w:br w:type="page"/>
      </w:r>
    </w:p>
    <w:p>
      <w:pPr>
        <w:pStyle w:val="Heading1"/>
      </w:pPr>
      <w:r>
        <w:t xml:space="preserve">7 ·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Buttons </w:t>
      </w:r>
      <w:r>
        <w:rPr>
          <w:rFonts w:ascii="Lora" w:cs="Lora" w:eastAsia="Lora" w:hAnsi="Lora"/>
          <w:sz w:val="22"/>
          <w:szCs w:val="22"/>
        </w:rPr>
        <w:t xml:space="preserve">— pill-shaped (border-radius 100px), padding 15px 28px, font-weight 600 / 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Cards </w:t>
      </w:r>
      <w:r>
        <w:rPr>
          <w:rFonts w:ascii="Lora" w:cs="Lora" w:eastAsia="Lora" w:hAnsi="Lora"/>
          <w:sz w:val="22"/>
          <w:szCs w:val="22"/>
        </w:rPr>
        <w:t xml:space="preserve">— no border-radius (intentional, sharp grid feel). Exceptions: trust badges (16px) and form fields (10px)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Form fields </w:t>
      </w:r>
      <w:r>
        <w:rPr>
          <w:rFonts w:ascii="Lora" w:cs="Lora" w:eastAsia="Lora" w:hAnsi="Lora"/>
          <w:sz w:val="22"/>
          <w:szCs w:val="22"/>
        </w:rPr>
        <w:t xml:space="preserve">— focus with a 4px rgba(0,122,255,0.12) ring, accent border, and a subtle blue-tinted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Animated SVG </w:t>
      </w:r>
      <w:r>
        <w:rPr>
          <w:rFonts w:ascii="Lora" w:cs="Lora" w:eastAsia="Lora" w:hAnsi="Lora"/>
          <w:sz w:val="22"/>
          <w:szCs w:val="22"/>
        </w:rPr>
        <w:t xml:space="preserve">— one of three motifs per section: constellation (hero), concentric rings + orbit (about), or flow lines + packets (services)</w:t>
      </w:r>
    </w:p>
    <w:p>
      <w:pPr>
        <w:pStyle w:val="Heading1"/>
      </w:pPr>
      <w:r>
        <w:t xml:space="preserve">8 · Voice</w:t>
      </w:r>
    </w:p>
    <w:p>
      <w:pPr>
        <w:spacing w:after="120"/>
      </w:pPr>
      <w:r>
        <w:rPr>
          <w:rFonts w:ascii="Lora" w:cs="Lora" w:eastAsia="Lora" w:hAnsi="Lora"/>
          <w:i/>
          <w:iCs/>
          <w:sz w:val="22"/>
          <w:szCs w:val="22"/>
        </w:rPr>
        <w:t xml:space="preserve">Calibrated from the live website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Precise, not poetic. </w:t>
      </w:r>
      <w:r>
        <w:rPr>
          <w:rFonts w:ascii="Lora" w:cs="Lora" w:eastAsia="Lora" w:hAnsi="Lora"/>
          <w:sz w:val="22"/>
          <w:szCs w:val="22"/>
        </w:rPr>
        <w:t xml:space="preserve">"Data Precision. Global Scale." — short clauses, no flourish.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Specific, not generic. </w:t>
      </w:r>
      <w:r>
        <w:rPr>
          <w:rFonts w:ascii="Lora" w:cs="Lora" w:eastAsia="Lora" w:hAnsi="Lora"/>
          <w:sz w:val="22"/>
          <w:szCs w:val="22"/>
        </w:rPr>
        <w:t xml:space="preserve">"Fortune 500", "Aerospace, Biomedical, CPG", "GSTIN, PAN, IEC" — name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Confident-quiet. </w:t>
      </w:r>
      <w:r>
        <w:rPr>
          <w:rFonts w:ascii="Lora" w:cs="Lora" w:eastAsia="Lora" w:hAnsi="Lora"/>
          <w:sz w:val="22"/>
          <w:szCs w:val="22"/>
        </w:rPr>
        <w:t xml:space="preserve">"We don’t staff projects — we become a compliant, high-caliber extension of your team." The em-dash is part of the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ora" w:cs="Lora" w:eastAsia="Lora" w:hAnsi="Lora"/>
          <w:b/>
          <w:bCs/>
          <w:sz w:val="22"/>
          <w:szCs w:val="22"/>
        </w:rPr>
        <w:t xml:space="preserve">Outcome-led. </w:t>
      </w:r>
      <w:r>
        <w:rPr>
          <w:rFonts w:ascii="Lora" w:cs="Lora" w:eastAsia="Lora" w:hAnsi="Lora"/>
          <w:sz w:val="22"/>
          <w:szCs w:val="22"/>
        </w:rPr>
        <w:t xml:space="preserve">"You keep the client relationship." Speak to the buyer’s win, not the seller’s pitch.</w:t>
      </w:r>
    </w:p>
    <w:p>
      <w:pPr>
        <w:pStyle w:val="Heading2"/>
      </w:pPr>
      <w:r>
        <w:t xml:space="preserve">Avoid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Superlatives ("amazing", "revolutionary", "world-class")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Exclamation marks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adjectives that soften precision</w:t>
      </w:r>
    </w:p>
    <w:p>
      <w:r>
        <w:br w:type="page"/>
      </w:r>
    </w:p>
    <w:p>
      <w:pPr>
        <w:pStyle w:val="Heading1"/>
      </w:pPr>
      <w:r>
        <w:t xml:space="preserve">9 · Don’ts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use the washed-out blue (#66B3FF) anywhere on solid text — it is off-brand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gradient-fade brand text — Apple Blue is solid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mix the satellite dots with other shapes in the logo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introduce a third typeface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use light-mode backgrounds for the marketing site (only the marquee strip inverts)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pair Apple Blue with a second hue — the brand is monochromatic plus blue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use emoji and stroked SVG icons in the same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exceed -2px translateY on hover lifts</w:t>
      </w:r>
    </w:p>
    <w:p>
      <w:r>
        <w:t xml:space="preserve"/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36366"/>
          <w:sz w:val="16"/>
          <w:szCs w:val="16"/>
        </w:rPr>
        <w:t xml:space="preserve">Thinklens Consulting LLP  ·  thinklensconsulting@gmail.com  ·  India — Serving Global Partners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4141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oppins" w:cs="Poppins" w:eastAsia="Poppins" w:hAnsi="Poppins"/>
      <w:b/>
      <w:bCs/>
      <w:color w:val="14141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oppins" w:cs="Poppins" w:eastAsia="Poppins" w:hAnsi="Poppins"/>
      <w:b/>
      <w:bCs/>
      <w:color w:val="14141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oppins" w:cs="Poppins" w:eastAsia="Poppins" w:hAnsi="Poppins"/>
      <w:b/>
      <w:bCs/>
      <w:color w:val="1414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Thinklens Brand Guidelines</dc:title>
  <dc:creator>Thinklens</dc:creator>
  <dc:description>Brand identity and styling guidelines for Thinklens Consulting LLP</dc:description>
  <cp:lastModifiedBy>Un-named</cp:lastModifiedBy>
  <cp:revision>1</cp:revision>
  <dcterms:created xsi:type="dcterms:W3CDTF">2026-06-02T16:40:07.348Z</dcterms:created>
  <dcterms:modified xsi:type="dcterms:W3CDTF">2026-06-02T16:40:07.349Z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