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Eltex MES2300-24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YADRO G4208P G3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 и Закупки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поставщиков: </w:t>
      </w:r>
      <w:r>
        <w:t>Глубокая проверка контрагентов, анализ истории цен и надежности поставок.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контрактов: </w:t>
      </w:r>
      <w:r>
        <w:t>Автоматическая проверка договоров на соответствие корпоративным стандартам и выявление рисков.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ПТО и Строительство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смет: </w:t>
      </w:r>
      <w:r>
        <w:t>Интеллектуальный анализ проектной документации и автоматическое формирование сметных расчетов.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Система документооборота: </w:t>
      </w:r>
      <w:r>
        <w:t>Автоматическая классификация, маршрутизация и контроль исполнительной документации.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Видеоаналитика строительства: </w:t>
      </w:r>
      <w:r>
        <w:t>Мониторинг прогресса работ, контроль соблюдения техники безопасности и использования ресурсов.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задержек: </w:t>
      </w:r>
      <w:r>
        <w:t>ML-анализ графиков работ, поставок материалов и погодных условий для раннего выявления рисков срыва сроков.</w:t>
      </w:r>
    </w:p>
    <w:p>
      <w:r>
        <w:rPr>
          <w:b/>
          <w:color w:val="333333"/>
          <w:sz w:val="28"/>
        </w:rPr>
        <w:t>4.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p>
      <w:r>
        <w:rPr>
          <w:b/>
          <w:color w:val="003366"/>
          <w:sz w:val="32"/>
        </w:rPr>
        <w:t>МОДУЛЬ ИНТЕГРАЦИИ С 1С:ПРЕДПРИЯТИЕ</w:t>
      </w:r>
    </w:p>
    <w:p>
      <w:r>
        <w:t>Система включает специализированный модуль для бесшовной интеграции с существующей конфигурацией 1С заказчика, обеспечивающий двусторонний обмен данными в реальном времени.</w:t>
      </w:r>
    </w:p>
    <w:p>
      <w:r>
        <w:rPr>
          <w:b/>
          <w:color w:val="333333"/>
          <w:sz w:val="28"/>
        </w:rPr>
        <w:t>1. Архитектура и Протоколы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REST API: </w:t>
      </w:r>
      <w:r>
        <w:t>Использование стандартного интерфейса OData и HTTP-сервисов платформы 1С для универсального доступа к данным.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Web-сервисы (SOAP): </w:t>
      </w:r>
      <w:r>
        <w:t>Поддержка классических SOAP-протоколов для интеграции с устаревшими конфигурациями.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Очереди сообщений: </w:t>
      </w:r>
      <w:r>
        <w:t>Асинхронный обмен через RabbitMQ/Kafka для высоконагруженных систем, гарантирующий доставку сообщений.</w:t>
      </w:r>
    </w:p>
    <w:p>
      <w:r>
        <w:rPr>
          <w:b/>
          <w:color w:val="333333"/>
          <w:sz w:val="28"/>
        </w:rPr>
        <w:t>2. Форматы обмена данными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JSON: </w:t>
      </w:r>
      <w:r>
        <w:t>Основной формат для передачи легковесных структур данных и команд управления.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XML / XDTO: </w:t>
      </w:r>
      <w:r>
        <w:t>Строгая типизация данных для сложных документов и справочников, соответствующая стандартам Enterprise Data.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CSV / Excel: </w:t>
      </w:r>
      <w:r>
        <w:t>Поддержка пакетной загрузки и выгрузки исторических данных для первоначального обучения моделей.</w:t>
      </w:r>
    </w:p>
    <w:p>
      <w:r>
        <w:rPr>
          <w:b/>
          <w:color w:val="333333"/>
          <w:sz w:val="28"/>
        </w:rPr>
        <w:t>3. Безопасность и Контроль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Аутентификация: </w:t>
      </w:r>
      <w:r>
        <w:t>Поддержка OAuth 2.0 и Basic Auth с использованием служебных пользователей 1С с ограниченными правами.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Шифрование: </w:t>
      </w:r>
      <w:r>
        <w:t>Весь трафик передается по защищенному протоколу HTTPS (TLS 1.3).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Журналирование: </w:t>
      </w:r>
      <w:r>
        <w:t>Полный аудит всех запросов и изменений данных в журнале регистрации 1С.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