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КОММЕРЧЕСКОЕ ПРЕДЛОЖЕНИЕ</w:t>
      </w:r>
    </w:p>
    <w:p>
      <w:pPr>
        <w:jc w:val="center"/>
      </w:pPr>
      <w:r>
        <w:rPr>
          <w:sz w:val="36"/>
        </w:rPr>
        <w:t>Локальный ИИ-агент для 1С:Предприятие</w:t>
      </w:r>
    </w:p>
    <w:p>
      <w:r>
        <w:br w:type="page"/>
      </w:r>
    </w:p>
    <w:p>
      <w:r>
        <w:rPr>
          <w:b/>
          <w:color w:val="003366"/>
          <w:sz w:val="32"/>
        </w:rPr>
        <w:t>1. ОПИСАНИЕ ПРОЕКТА</w:t>
      </w:r>
    </w:p>
    <w:p>
      <w:pPr>
        <w:jc w:val="both"/>
      </w:pPr>
      <w:r>
        <w:t>Предлагаемое решение представляет собой программно-аппаратный комплекс для автоматизации финансово-хозяйственных операций с использованием технологий искусственного интеллекта. Система разворачивается полностью локально (On-Premise), обеспечивая максимальную безопасность данных и соответствие требованиям импортозамещения.</w:t>
      </w:r>
    </w:p>
    <w:p>
      <w:r>
        <w:rPr>
          <w:b/>
          <w:color w:val="003366"/>
          <w:sz w:val="32"/>
        </w:rPr>
        <w:t>2. СПЕЦИФИКАЦИЯ ОБОРУДОВАНИЯ</w:t>
      </w:r>
    </w:p>
    <w:p>
      <w:r>
        <w:rPr>
          <w:b/>
          <w:color w:val="333333"/>
          <w:sz w:val="28"/>
        </w:rPr>
        <w:t>Оптимальный вариант (Рекомендуемый)</w:t>
      </w:r>
    </w:p>
    <w:p>
      <w:pPr>
        <w:jc w:val="both"/>
      </w:pPr>
      <w:r>
        <w:t>Высокопроизводительная конфигурация на базе сервера YADRO для задач обучения и инференса 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Наименование</w:t>
            </w:r>
          </w:p>
        </w:tc>
        <w:tc>
          <w:tcPr>
            <w:tcW w:type="dxa" w:w="2160"/>
          </w:tcPr>
          <w:p>
            <w:r>
              <w:t>Кол-во</w:t>
            </w:r>
          </w:p>
        </w:tc>
        <w:tc>
          <w:tcPr>
            <w:tcW w:type="dxa" w:w="2160"/>
          </w:tcPr>
          <w:p>
            <w:r>
              <w:t>Цена за ед. (₽)</w:t>
            </w:r>
          </w:p>
        </w:tc>
        <w:tc>
          <w:tcPr>
            <w:tcW w:type="dxa" w:w="2160"/>
          </w:tcPr>
          <w:p>
            <w:r>
              <w:t>Сумма (₽)</w:t>
            </w:r>
          </w:p>
        </w:tc>
      </w:tr>
      <w:tr>
        <w:tc>
          <w:tcPr>
            <w:tcW w:type="dxa" w:w="2160"/>
          </w:tcPr>
          <w:p>
            <w:r>
              <w:t>Сервер YADRO G4208P G3 (2x Intel Xeon 6526Y, 512GB RAM, 1x NVIDIA H100 80GB, 2x 960GB SSD, 12x 3.5" LFF)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32 151 159</w:t>
            </w:r>
          </w:p>
        </w:tc>
        <w:tc>
          <w:tcPr>
            <w:tcW w:type="dxa" w:w="2160"/>
          </w:tcPr>
          <w:p>
            <w:r>
              <w:t>32 151 159</w:t>
            </w:r>
          </w:p>
        </w:tc>
      </w:tr>
      <w:tr>
        <w:tc>
          <w:tcPr>
            <w:tcW w:type="dxa" w:w="2160"/>
          </w:tcPr>
          <w:p>
            <w:r>
              <w:t>Коммутатор Eltex MES2300-24 (24x 1G, 4x 10G SFP+)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139 000</w:t>
            </w:r>
          </w:p>
        </w:tc>
        <w:tc>
          <w:tcPr>
            <w:tcW w:type="dxa" w:w="2160"/>
          </w:tcPr>
          <w:p>
            <w:r>
              <w:t>139 000</w:t>
            </w:r>
          </w:p>
        </w:tc>
      </w:tr>
      <w:tr>
        <w:tc>
          <w:tcPr>
            <w:tcW w:type="dxa" w:w="2160"/>
          </w:tcPr>
          <w:p>
            <w:r>
              <w:t>ИБП Ippon Innova RT 3000 (3000VA/2700W)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120 000</w:t>
            </w:r>
          </w:p>
        </w:tc>
        <w:tc>
          <w:tcPr>
            <w:tcW w:type="dxa" w:w="2160"/>
          </w:tcPr>
          <w:p>
            <w:r>
              <w:t>120 000</w:t>
            </w:r>
          </w:p>
        </w:tc>
      </w:tr>
      <w:tr>
        <w:tc>
          <w:tcPr>
            <w:tcW w:type="dxa" w:w="2160"/>
          </w:tcPr>
          <w:p>
            <w:r>
              <w:t>Шкаф телекоммуникационный 42U (ЦМО)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85 000</w:t>
            </w:r>
          </w:p>
        </w:tc>
        <w:tc>
          <w:tcPr>
            <w:tcW w:type="dxa" w:w="2160"/>
          </w:tcPr>
          <w:p>
            <w:r>
              <w:t>85 000</w:t>
            </w:r>
          </w:p>
        </w:tc>
      </w:tr>
      <w:tr>
        <w:tc>
          <w:tcPr>
            <w:tcW w:type="dxa" w:w="2160"/>
          </w:tcPr>
          <w:p>
            <w:r>
              <w:t>Комплект кабелей и монтажных материалов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50 000</w:t>
            </w:r>
          </w:p>
        </w:tc>
        <w:tc>
          <w:tcPr>
            <w:tcW w:type="dxa" w:w="2160"/>
          </w:tcPr>
          <w:p>
            <w:r>
              <w:t>50 000</w:t>
            </w:r>
          </w:p>
        </w:tc>
      </w:tr>
    </w:tbl>
    <w:p>
      <w:pPr>
        <w:jc w:val="both"/>
      </w:pPr>
      <w:r>
        <w:br/>
        <w:t>Итого оборудование: 32 545 159 ₽</w:t>
      </w:r>
    </w:p>
    <w:p>
      <w:r>
        <w:rPr>
          <w:b/>
          <w:color w:val="333333"/>
          <w:sz w:val="28"/>
        </w:rPr>
        <w:t>Базовый вариант</w:t>
      </w:r>
    </w:p>
    <w:p>
      <w:pPr>
        <w:jc w:val="both"/>
      </w:pPr>
      <w:r>
        <w:t>Экономичное решение для начального этапа внедрения.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Наименование</w:t>
            </w:r>
          </w:p>
        </w:tc>
        <w:tc>
          <w:tcPr>
            <w:tcW w:type="dxa" w:w="2160"/>
          </w:tcPr>
          <w:p>
            <w:r>
              <w:t>Кол-во</w:t>
            </w:r>
          </w:p>
        </w:tc>
        <w:tc>
          <w:tcPr>
            <w:tcW w:type="dxa" w:w="2160"/>
          </w:tcPr>
          <w:p>
            <w:r>
              <w:t>Цена за ед. (₽)</w:t>
            </w:r>
          </w:p>
        </w:tc>
        <w:tc>
          <w:tcPr>
            <w:tcW w:type="dxa" w:w="2160"/>
          </w:tcPr>
          <w:p>
            <w:r>
              <w:t>Сумма (₽)</w:t>
            </w:r>
          </w:p>
        </w:tc>
      </w:tr>
      <w:tr>
        <w:tc>
          <w:tcPr>
            <w:tcW w:type="dxa" w:w="2160"/>
          </w:tcPr>
          <w:p>
            <w:r>
              <w:t>Сервер Гравитон С2101И (2x Intel Xeon 4310, 128GB RAM, 2x 960GB SSD)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1 200 000</w:t>
            </w:r>
          </w:p>
        </w:tc>
        <w:tc>
          <w:tcPr>
            <w:tcW w:type="dxa" w:w="2160"/>
          </w:tcPr>
          <w:p>
            <w:r>
              <w:t>1 200 000</w:t>
            </w:r>
          </w:p>
        </w:tc>
      </w:tr>
      <w:tr>
        <w:tc>
          <w:tcPr>
            <w:tcW w:type="dxa" w:w="2160"/>
          </w:tcPr>
          <w:p>
            <w:r>
              <w:t>Коммутатор Eltex MES2300-24 (24x 1G, 4x 10G SFP+)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139 000</w:t>
            </w:r>
          </w:p>
        </w:tc>
        <w:tc>
          <w:tcPr>
            <w:tcW w:type="dxa" w:w="2160"/>
          </w:tcPr>
          <w:p>
            <w:r>
              <w:t>139 000</w:t>
            </w:r>
          </w:p>
        </w:tc>
      </w:tr>
      <w:tr>
        <w:tc>
          <w:tcPr>
            <w:tcW w:type="dxa" w:w="2160"/>
          </w:tcPr>
          <w:p>
            <w:r>
              <w:t>ИБП Ippon Smart Winner 2000 (2000VA)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65 000</w:t>
            </w:r>
          </w:p>
        </w:tc>
        <w:tc>
          <w:tcPr>
            <w:tcW w:type="dxa" w:w="2160"/>
          </w:tcPr>
          <w:p>
            <w:r>
              <w:t>65 000</w:t>
            </w:r>
          </w:p>
        </w:tc>
      </w:tr>
      <w:tr>
        <w:tc>
          <w:tcPr>
            <w:tcW w:type="dxa" w:w="2160"/>
          </w:tcPr>
          <w:p>
            <w:r>
              <w:t>Шкаф настенный 12U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25 000</w:t>
            </w:r>
          </w:p>
        </w:tc>
        <w:tc>
          <w:tcPr>
            <w:tcW w:type="dxa" w:w="2160"/>
          </w:tcPr>
          <w:p>
            <w:r>
              <w:t>25 000</w:t>
            </w:r>
          </w:p>
        </w:tc>
      </w:tr>
    </w:tbl>
    <w:p>
      <w:pPr>
        <w:jc w:val="both"/>
      </w:pPr>
      <w:r>
        <w:br/>
        <w:t>Итого оборудование: 1 429 000 ₽</w:t>
      </w:r>
    </w:p>
    <w:p>
      <w:r>
        <w:rPr>
          <w:b/>
          <w:color w:val="003366"/>
          <w:sz w:val="32"/>
        </w:rPr>
        <w:t>3. ПЛАН ВНЕДРЕНИЯ</w:t>
      </w:r>
    </w:p>
    <w:p>
      <w:r>
        <w:rPr>
          <w:b/>
          <w:color w:val="333333"/>
          <w:sz w:val="28"/>
        </w:rPr>
        <w:t>Базовый вариант (3 месяца)</w:t>
      </w:r>
    </w:p>
    <w:p>
      <w:pPr>
        <w:pStyle w:val="ListBullet"/>
        <w:ind w:left="360"/>
      </w:pPr>
      <w:r>
        <w:t>Месяц 1: Анализ инфраструктуры, закупка оборудования (Гравитон С2101И), разработка ТЗ.</w:t>
      </w:r>
    </w:p>
    <w:p>
      <w:pPr>
        <w:pStyle w:val="ListBullet"/>
        <w:ind w:left="360"/>
      </w:pPr>
      <w:r>
        <w:t>Месяц 2-2.5: Монтаж сервера, установка ПО (Альт Линукс, Postgres Pro), базовая настройка моделей.</w:t>
      </w:r>
    </w:p>
    <w:p>
      <w:pPr>
        <w:pStyle w:val="ListBullet"/>
        <w:ind w:left="360"/>
      </w:pPr>
      <w:r>
        <w:t>Месяц 3: Обучение персонала, опытная эксплуатация, передача в поддержку.</w:t>
      </w:r>
    </w:p>
    <w:p>
      <w:r>
        <w:rPr>
          <w:b/>
          <w:color w:val="333333"/>
          <w:sz w:val="28"/>
        </w:rPr>
        <w:t>Оптимальный вариант (3-6 месяцев)</w:t>
      </w:r>
    </w:p>
    <w:p>
      <w:pPr>
        <w:pStyle w:val="ListBullet"/>
        <w:ind w:left="360"/>
      </w:pPr>
      <w:r>
        <w:t>Месяц 1: Глубокий аудит бизнес-процессов, проектирование архитектуры (YADRO G4208P), детальное ТЗ.</w:t>
      </w:r>
    </w:p>
    <w:p>
      <w:pPr>
        <w:pStyle w:val="ListBullet"/>
        <w:ind w:left="360"/>
      </w:pPr>
      <w:r>
        <w:t>Месяц 2-4: Монтаж сервера YADRO G4208P, настройка высокопроизводительной среды ИИ, тюнинг моделей.</w:t>
      </w:r>
    </w:p>
    <w:p>
      <w:pPr>
        <w:pStyle w:val="ListBullet"/>
        <w:ind w:left="360"/>
      </w:pPr>
      <w:r>
        <w:t>Месяц 5-6: Нагрузочное тестирование, обучение администраторов, запуск в промышленную эксплуатацию.</w:t>
      </w:r>
    </w:p>
    <w:p>
      <w:r>
        <w:rPr>
          <w:b/>
          <w:color w:val="003366"/>
          <w:sz w:val="32"/>
        </w:rPr>
        <w:t>4. ДОПОЛНИТЕЛЬНЫЕ СЦЕНАРИИ ИСПОЛЬЗОВАНИЯ</w:t>
      </w:r>
    </w:p>
    <w:p>
      <w:pPr>
        <w:jc w:val="both"/>
      </w:pPr>
      <w:r>
        <w:t>Помимо основной функции обеспечения экономической безопасности, система предоставляет широкие возможности для автоматизации финансовых процессов и поддержки принятия управленческих решений.</w:t>
      </w:r>
    </w:p>
    <w:p>
      <w:r>
        <w:rPr>
          <w:b/>
          <w:color w:val="333333"/>
          <w:sz w:val="28"/>
        </w:rPr>
        <w:t>Финансовые операции и Закупки</w:t>
      </w:r>
    </w:p>
    <w:p>
      <w:pPr>
        <w:pStyle w:val="ListBullet"/>
        <w:ind w:left="360"/>
      </w:pPr>
      <w:r>
        <w:t>Автоматизация учёта расходов: Распознавание и классификация счетов-фактур.</w:t>
      </w:r>
    </w:p>
    <w:p>
      <w:pPr>
        <w:pStyle w:val="ListBullet"/>
        <w:ind w:left="360"/>
      </w:pPr>
      <w:r>
        <w:t>Контроль кассовых разрывов: Прогнозирование дефицита денежных средств.</w:t>
      </w:r>
    </w:p>
    <w:p>
      <w:pPr>
        <w:pStyle w:val="ListBullet"/>
        <w:ind w:left="360"/>
      </w:pPr>
      <w:r>
        <w:t>Анализ поставщиков: Глубокая проверка контрагентов.</w:t>
      </w:r>
    </w:p>
    <w:p>
      <w:r>
        <w:rPr>
          <w:b/>
          <w:color w:val="333333"/>
          <w:sz w:val="28"/>
        </w:rPr>
        <w:t>ПТО и Строительство</w:t>
      </w:r>
    </w:p>
    <w:p>
      <w:pPr>
        <w:pStyle w:val="ListBullet"/>
        <w:ind w:left="360"/>
      </w:pPr>
      <w:r>
        <w:t>Автоматизация смет: Интеллектуальный анализ проектной документации.</w:t>
      </w:r>
    </w:p>
    <w:p>
      <w:pPr>
        <w:pStyle w:val="ListBullet"/>
        <w:ind w:left="360"/>
      </w:pPr>
      <w:r>
        <w:t>Видеоаналитика строительства: Мониторинг прогресса работ.</w:t>
      </w:r>
    </w:p>
    <w:p>
      <w:pPr>
        <w:pStyle w:val="ListBullet"/>
        <w:ind w:left="360"/>
      </w:pPr>
      <w:r>
        <w:t>Прогнозирование задержек: ML-анализ графиков работ.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