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Критическая оценка стратегического анализа AZONE-AI и рекомендаций по azoneai.ru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Внешняя экспертная оценка для руководства ООО «Азон» ·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Краткое резюме — насколько полезен исходный анализ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Исходный анализ полезен примерно на 55%: он корректно идентифицирует ключевые тренды российского рынка (доминирование on-premise, важность регуляторных лицензий, рост темы безопасности LLM), правильно подсвечивает сильные продукты (AzoneDoc, ContentGuard) и верно интерпретирует роль ContentGuard как аналитической платформы поверх инфраструктуры ИБ. Однако в нём есть две системные проблемы: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Стартап-логика, а не интеграторская. </w:t>
      </w:r>
      <w:r>
        <w:rPr>
          <w:rFonts w:ascii="Arial" w:cs="Arial" w:eastAsia="Arial" w:hAnsi="Arial"/>
          <w:sz w:val="22"/>
          <w:szCs w:val="22"/>
        </w:rPr>
        <w:t xml:space="preserve">Рекомендация запустить флагман AI-Sentinel (LLM-шлюз с защитой от prompt injection, on-premise, сертифицированный) — это на 12–24 месяца R&amp;D в нише, где уже работают Solar, Positive Technologies, Kaspersky, Servicepipe и стартапы (СофтМедиаЛаб, RooX, EdgeCenter). Для интегратора с лицензиями, но без публичной R&amp;D-команды и без референсной инсталляции — это попытка перепрыгнуть через две стадии зрелости. Заявление «единственный сертифицированный в РФ» — отдельный риск, поскольку сертификации СрЗИ нет.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Игнорирование специфики B2G-цикла. </w:t>
      </w:r>
      <w:r>
        <w:rPr>
          <w:rFonts w:ascii="Arial" w:cs="Arial" w:eastAsia="Arial" w:hAnsi="Arial"/>
          <w:sz w:val="22"/>
          <w:szCs w:val="22"/>
        </w:rPr>
        <w:t xml:space="preserve">Нет упоминаний реестра Минцифры, сертификации ФСТЭК на класс защищённости, совместимости с Astra Linux / RED OS / Postgres Pro, длины сделки, presales-комплектов, HLD/LLD, кейсов — именно того, что определяет вход в КИИ и госзаказ.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Дополнительно есть точечные методологические провалы: объединение ConstructionEye + PredictMaintain в один продукт, поверхностный тезис об «обесценивании» legal-AI универсальными LLM, расплывчатая ссылка на «Gartner-тренд 2026» без конкретного отчёта.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Анализ читается как презентация консалтинговой группы для инвестора, а не как план продаж для интегратора. Брать в работу можно ~5 идей из 10, остальные требуют переработки или отклонения.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Общая оценка: 55 / 100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Обоснование: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+15 за корректный макро-тренд (on-premise, регуляторы, ИИ в КИИ).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+12 за правильный приоритет AzoneDoc как RAG-ядра.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+10 за корректную интерпретацию ContentGuard как платформы интеграции и ИИ-аналитики над СЗИ — это сильное продуктовое наблюдение.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+8 за идею Compliance-AI (направление с реальным спросом).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+5 за признание слабости ContractGuard.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+5 за структурную попытку каталогизации.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−10 за фантомного «флагмана» AI-Sentinel без оценки времени-до-рынка и конкурентного поля.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−10 за объединение ConstructionEye + PredictMaintain (разные ЦА, разные ЛПР, разные циклы).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−7 за заявление «единственный сертифицированный on-premise шлюз LLM в РФ» без сертификата СрЗИ.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−5 за ссылку на «Gartner называет безопасность ИИ-агентов трендом 2026» без указания конкретного отчёта.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−8 за отсутствие плана входа в реестр Минцифры, сертификации ФСТЭК, совместимости с отечественной инфраструктурой.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Таблица оценки предложений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Таблица расположена на отдельной альбомной странице ниже.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Что в анализе правильно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идентифицирован макро-контекст 2026: </w:t>
      </w:r>
      <w:r>
        <w:rPr>
          <w:rFonts w:ascii="Arial" w:cs="Arial" w:eastAsia="Arial" w:hAnsi="Arial"/>
          <w:sz w:val="22"/>
          <w:szCs w:val="22"/>
        </w:rPr>
        <w:t xml:space="preserve">доминирование on-premise, ужесточение требований ФСТЭК/ФСБ, фокус на КИИ и B2G, рост темы безопасности генеративного ИИ.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выделен AzoneDoc как ядро. </w:t>
      </w:r>
      <w:r>
        <w:rPr>
          <w:rFonts w:ascii="Arial" w:cs="Arial" w:eastAsia="Arial" w:hAnsi="Arial"/>
          <w:sz w:val="22"/>
          <w:szCs w:val="22"/>
        </w:rPr>
        <w:t xml:space="preserve">RAG по корпоративным знаниям — самая зрелая ниша B2B-ИИ в РФ с понятной экономикой; интеграция с СЭД/1С и работа в закрытом контуре — реальные дифференциаторы.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интерпретирован ContentGuard </w:t>
      </w:r>
      <w:r>
        <w:rPr>
          <w:rFonts w:ascii="Arial" w:cs="Arial" w:eastAsia="Arial" w:hAnsi="Arial"/>
          <w:sz w:val="22"/>
          <w:szCs w:val="22"/>
        </w:rPr>
        <w:t xml:space="preserve">как платформа интеграции и ИИ-аналитики поверх СЗИ. Это сильное продуктовое наблюдение, дающее АЗОНу логичный второй якорь линейки рядом с AzoneDoc.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подсвечена слабость ContractGuard </w:t>
      </w:r>
      <w:r>
        <w:rPr>
          <w:rFonts w:ascii="Arial" w:cs="Arial" w:eastAsia="Arial" w:hAnsi="Arial"/>
          <w:sz w:val="22"/>
          <w:szCs w:val="22"/>
        </w:rPr>
        <w:t xml:space="preserve">как самостоятельного продукта в текущем виде — но интерпретация причин неверная (см. п. 5).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поднята тема безопасности LLM. </w:t>
      </w:r>
      <w:r>
        <w:rPr>
          <w:rFonts w:ascii="Arial" w:cs="Arial" w:eastAsia="Arial" w:hAnsi="Arial"/>
          <w:sz w:val="22"/>
          <w:szCs w:val="22"/>
        </w:rPr>
        <w:t xml:space="preserve">Это действительно одна из ключевых растущих тем 2025–2026 (AI TRiSM, OWASP LLM Top 10, prompt injection).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отмечено, </w:t>
      </w:r>
      <w:r>
        <w:rPr>
          <w:rFonts w:ascii="Arial" w:cs="Arial" w:eastAsia="Arial" w:hAnsi="Arial"/>
          <w:sz w:val="22"/>
          <w:szCs w:val="22"/>
        </w:rPr>
        <w:t xml:space="preserve">что лицензии ФСТЭК/ФСБ/МО — редкая комбинация и должна быть конкурентным преимуществом № 1 на лендинге.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Правильно зафиксирована задача </w:t>
      </w:r>
      <w:r>
        <w:rPr>
          <w:rFonts w:ascii="Arial" w:cs="Arial" w:eastAsia="Arial" w:hAnsi="Arial"/>
          <w:sz w:val="22"/>
          <w:szCs w:val="22"/>
        </w:rPr>
        <w:t xml:space="preserve">опубликовать список поддерживаемых коннекторов для ContentGuard — это priority-1 для B2G.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Что ошибочно или спорно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«Единственный в РФ сертифицированный on-premise шлюз LLM-безопасности». </w:t>
      </w:r>
      <w:r>
        <w:rPr>
          <w:rFonts w:ascii="Arial" w:cs="Arial" w:eastAsia="Arial" w:hAnsi="Arial"/>
          <w:sz w:val="22"/>
          <w:szCs w:val="22"/>
        </w:rPr>
        <w:t xml:space="preserve">Сертификат ФСТЭК у АЗОНа есть на услуги/работы, но не на собственный продукт класса «средство защиты ИИ». Заявлять «единственный сертифицированный» без СрЗИ-сертификата — это маркетинговый риск перед регулятором и крупным заказчиком, который проверит реестр СрЗИ ФСТЭК.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Тезис «GigaChat/YandexGPT обесценили legal-AI нишу». </w:t>
      </w:r>
      <w:r>
        <w:rPr>
          <w:rFonts w:ascii="Arial" w:cs="Arial" w:eastAsia="Arial" w:hAnsi="Arial"/>
          <w:sz w:val="22"/>
          <w:szCs w:val="22"/>
        </w:rPr>
        <w:t xml:space="preserve">Это не так. Doczilla, Embedika Contract, Noroots, Casebook, Lawrence, jurio, Pravoved.AI продолжают расти; корпоративные юристы хотят плейбуки, версионирование, интеграцию в СЭД, on-premise — что универсальные LLM-облака не дают. Тезис ослабляет продуктовое решение.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Объединение ConstructionEye и PredictMaintain. </w:t>
      </w:r>
      <w:r>
        <w:rPr>
          <w:rFonts w:ascii="Arial" w:cs="Arial" w:eastAsia="Arial" w:hAnsi="Arial"/>
          <w:sz w:val="22"/>
          <w:szCs w:val="22"/>
        </w:rPr>
        <w:t xml:space="preserve">Видеоаналитика СИЗ продаётся через службы охраны труда / директора по безопасности / СРО строительства. Predictive maintenance продаётся через главного инженера / директора по производству / ИТ ТЭК. Разные тендеры, разные референсы, разные регуляторы. Объединение — это упрощение лендинга, которое разрушает воронку.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Флагман AI-Sentinel как собственный продукт. </w:t>
      </w:r>
      <w:r>
        <w:rPr>
          <w:rFonts w:ascii="Arial" w:cs="Arial" w:eastAsia="Arial" w:hAnsi="Arial"/>
          <w:sz w:val="22"/>
          <w:szCs w:val="22"/>
        </w:rPr>
        <w:t xml:space="preserve">Для интегратора без публичной R&amp;D-команды и без референсной on-premise инсталляции это путь в 18–24 месяца + риск получить «бумажный продукт» без реальной защиты. Ниша занимается крупными игроками (Kaspersky, Positive, Solar, MTS AI), у которых есть ресурс, кадры и собственные SOC.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Compliance-AI «быстро и сертифицированно». </w:t>
      </w:r>
      <w:r>
        <w:rPr>
          <w:rFonts w:ascii="Arial" w:cs="Arial" w:eastAsia="Arial" w:hAnsi="Arial"/>
          <w:sz w:val="22"/>
          <w:szCs w:val="22"/>
        </w:rPr>
        <w:t xml:space="preserve">Сертификация СЗИ занимает 9–18 мес. Запуск GRC-продукта без интеграций с ФинЦЕРТ/НКЦКИ/ГосСОПКА и без референса — рискованный.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Перевод ContractGuard в модуль </w:t>
      </w:r>
      <w:r>
        <w:rPr>
          <w:rFonts w:ascii="Arial" w:cs="Arial" w:eastAsia="Arial" w:hAnsi="Arial"/>
          <w:sz w:val="22"/>
          <w:szCs w:val="22"/>
        </w:rPr>
        <w:t xml:space="preserve">— теряется самостоятельный канал лидов из юр. функций (а это заметный B2B-сегмент с собственным бюджетом).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«Оркестрация ИБ-решений» для ContentGuard </w:t>
      </w:r>
      <w:r>
        <w:rPr>
          <w:rFonts w:ascii="Arial" w:cs="Arial" w:eastAsia="Arial" w:hAnsi="Arial"/>
          <w:sz w:val="22"/>
          <w:szCs w:val="22"/>
        </w:rPr>
        <w:t xml:space="preserve">— терминологически неточная формулировка из категории SOAR, в которой ContentGuard не работает. Аналитический слой и ИИ-обогащение — корректнее, оркестрация — нет.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Отсутствует анализ времени-до-рынка </w:t>
      </w:r>
      <w:r>
        <w:rPr>
          <w:rFonts w:ascii="Arial" w:cs="Arial" w:eastAsia="Arial" w:hAnsi="Arial"/>
          <w:sz w:val="22"/>
          <w:szCs w:val="22"/>
        </w:rPr>
        <w:t xml:space="preserve">для всех новых продуктов. Анализ предлагает 5 направлений, но не отвечает: какие из них реально могут приносить выручку через 6–9 мес., а какие — через 18–24.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Расплывчатая ссылка на Gartner. </w:t>
      </w:r>
      <w:r>
        <w:rPr>
          <w:rFonts w:ascii="Arial" w:cs="Arial" w:eastAsia="Arial" w:hAnsi="Arial"/>
          <w:sz w:val="22"/>
          <w:szCs w:val="22"/>
        </w:rPr>
        <w:t xml:space="preserve">«Gartner называет безопасность ИИ-агентов ключевым трендом 2026» — формулировка без конкретного отчёта. Тренд реальный (AI TRiSM, Guardian Agents в Hype Cycle for AI 2025), но в текущем виде это аргумент с непроверяемым источником.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Что не учтено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Реестр отечественного ПО Минцифры. </w:t>
      </w:r>
      <w:r>
        <w:rPr>
          <w:rFonts w:ascii="Arial" w:cs="Arial" w:eastAsia="Arial" w:hAnsi="Arial"/>
          <w:sz w:val="22"/>
          <w:szCs w:val="22"/>
        </w:rPr>
        <w:t xml:space="preserve">Без присутствия в реестре продажи в госсектор и большую часть КИИ практически невозможны (постановления 1236, 145, 325). Срок включения — 1,5–4 месяца. Это priority-0 для каждого продукта линейки.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Сертификация ФСТЭК на класс защищённости </w:t>
      </w:r>
      <w:r>
        <w:rPr>
          <w:rFonts w:ascii="Arial" w:cs="Arial" w:eastAsia="Arial" w:hAnsi="Arial"/>
          <w:sz w:val="22"/>
          <w:szCs w:val="22"/>
        </w:rPr>
        <w:t xml:space="preserve">(для тех продуктов, что претендуют на роль СЗИ): срок 9–18 мес., бюджет 8–25 млн ₽. План должен быть реалистичным.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Совместимость с отечественным стеком: </w:t>
      </w:r>
      <w:r>
        <w:rPr>
          <w:rFonts w:ascii="Arial" w:cs="Arial" w:eastAsia="Arial" w:hAnsi="Arial"/>
          <w:sz w:val="22"/>
          <w:szCs w:val="22"/>
        </w:rPr>
        <w:t xml:space="preserve">Astra Linux (Common Edition + Special Edition с уровнями защищённости), РЕД ОС, ALT Linux; Postgres Pro Certified, Tantor, Arenadata DB; «РусБИТех» Брест, ECP VeiL для виртуализации. Без штатных сборок и сертификатов совместимости — продукт не пройдёт ТЗ.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Длительность B2G-цикла: </w:t>
      </w:r>
      <w:r>
        <w:rPr>
          <w:rFonts w:ascii="Arial" w:cs="Arial" w:eastAsia="Arial" w:hAnsi="Arial"/>
          <w:sz w:val="22"/>
          <w:szCs w:val="22"/>
        </w:rPr>
        <w:t xml:space="preserve">6–18 мес. от первого контакта до контракта. Стратегия требует presales-комплекта, а не только маркетинга.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Доказательства компетенций, </w:t>
      </w:r>
      <w:r>
        <w:rPr>
          <w:rFonts w:ascii="Arial" w:cs="Arial" w:eastAsia="Arial" w:hAnsi="Arial"/>
          <w:sz w:val="22"/>
          <w:szCs w:val="22"/>
        </w:rPr>
        <w:t xml:space="preserve">которых нет на сайте по результатам аудита: команда (фото, должности, сертификаты CISSP/CISA/CEH), публичные кейсы с цифрами ROI, HLD/LLD-шаблоны, демо-стенд (sandbox), скан-копии лицензий с возможностью верификации, методологии внедрения, шаблоны ТЗ.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Партнёрские программы </w:t>
      </w:r>
      <w:r>
        <w:rPr>
          <w:rFonts w:ascii="Arial" w:cs="Arial" w:eastAsia="Arial" w:hAnsi="Arial"/>
          <w:sz w:val="22"/>
          <w:szCs w:val="22"/>
        </w:rPr>
        <w:t xml:space="preserve">с Yandex Cloud (закрытый контур), Cloud.ru Evolution, MWS, MTS Web Services, K2 Cloud — там есть закрытые контуры и спрос на ИИ-надстройки.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Отраслевые лендинги </w:t>
      </w:r>
      <w:r>
        <w:rPr>
          <w:rFonts w:ascii="Arial" w:cs="Arial" w:eastAsia="Arial" w:hAnsi="Arial"/>
          <w:sz w:val="22"/>
          <w:szCs w:val="22"/>
        </w:rPr>
        <w:t xml:space="preserve">(КИИ ТЭК, Финсектор, Здравоохранение, Транспорт, Образование, Госсектор) — без них один общий лендинг конвертирует в разы хуже.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Цикл presale-документов: </w:t>
      </w:r>
      <w:r>
        <w:rPr>
          <w:rFonts w:ascii="Arial" w:cs="Arial" w:eastAsia="Arial" w:hAnsi="Arial"/>
          <w:sz w:val="22"/>
          <w:szCs w:val="22"/>
        </w:rPr>
        <w:t xml:space="preserve">опросный лист, RFI/RFP-шаблоны, расчёт стоимости пилота, договор о пилоте.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 конкурентов в каждой нише </w:t>
      </w:r>
      <w:r>
        <w:rPr>
          <w:rFonts w:ascii="Arial" w:cs="Arial" w:eastAsia="Arial" w:hAnsi="Arial"/>
          <w:sz w:val="22"/>
          <w:szCs w:val="22"/>
        </w:rPr>
        <w:t xml:space="preserve">в исходном документе отсутствует — приоритизация делается без сопоставления с уже занятым рынком.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 и команда </w:t>
      </w:r>
      <w:r>
        <w:rPr>
          <w:rFonts w:ascii="Arial" w:cs="Arial" w:eastAsia="Arial" w:hAnsi="Arial"/>
          <w:sz w:val="22"/>
          <w:szCs w:val="22"/>
        </w:rPr>
        <w:t xml:space="preserve">— анализ ничего не говорит о том, какие ресурсы нужны для реализации (а это 5 продуктов, 4 каталожные перестройки и сертификации).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Рекомендованная стратегия развития сайта azoneai.ru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цель сайта: </w:t>
      </w:r>
      <w:r>
        <w:rPr>
          <w:rFonts w:ascii="Arial" w:cs="Arial" w:eastAsia="Arial" w:hAnsi="Arial"/>
          <w:sz w:val="22"/>
          <w:szCs w:val="22"/>
        </w:rPr>
        <w:t xml:space="preserve">не «показать витрину 5 продуктов», а создать у CISO/ИТ-директора КИИ доверие за 90 секунд и довести до запроса пилота.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Что вынести на главную (выше скролла)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Однострочный value proposition: </w:t>
      </w:r>
      <w:r>
        <w:rPr>
          <w:rFonts w:ascii="Arial" w:cs="Arial" w:eastAsia="Arial" w:hAnsi="Arial"/>
          <w:sz w:val="22"/>
          <w:szCs w:val="22"/>
        </w:rPr>
        <w:t xml:space="preserve">«Внедряем LLM и нейросети on-premise в КИИ. Лицензии ФСТЭК, ФСБ, МО РФ. Пилот за 4–8 недель.»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3–4 «знака доверия» в горизонтальной полосе: </w:t>
      </w:r>
      <w:r>
        <w:rPr>
          <w:rFonts w:ascii="Arial" w:cs="Arial" w:eastAsia="Arial" w:hAnsi="Arial"/>
          <w:sz w:val="22"/>
          <w:szCs w:val="22"/>
        </w:rPr>
        <w:t xml:space="preserve">номера лицензий с верификацией, реестр Минцифры (когда будет), кол-во проектов, отрасли клиентов (без названий, если NDA).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на пилот </w:t>
      </w:r>
      <w:r>
        <w:rPr>
          <w:rFonts w:ascii="Arial" w:cs="Arial" w:eastAsia="Arial" w:hAnsi="Arial"/>
          <w:sz w:val="22"/>
          <w:szCs w:val="22"/>
        </w:rPr>
        <w:t xml:space="preserve">+ второй CTA на «Скачать архитектурную схему типового внедрения» (lead magnet, который собирает CISO).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Структура каталога (4–5 разделов)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Знания и документы </w:t>
      </w:r>
      <w:r>
        <w:rPr>
          <w:rFonts w:ascii="Arial" w:cs="Arial" w:eastAsia="Arial" w:hAnsi="Arial"/>
          <w:sz w:val="22"/>
          <w:szCs w:val="22"/>
        </w:rPr>
        <w:t xml:space="preserve">— AzoneDoc (флагман), ContractGuard как профильный плейбук.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Безопасность и ИИ-аналитика </w:t>
      </w:r>
      <w:r>
        <w:rPr>
          <w:rFonts w:ascii="Arial" w:cs="Arial" w:eastAsia="Arial" w:hAnsi="Arial"/>
          <w:sz w:val="22"/>
          <w:szCs w:val="22"/>
        </w:rPr>
        <w:t xml:space="preserve">— ContentGuard (платформа интеграции и ИИ-аналитики над СЗИ) + сервисный пакет «Доверенное внедрение LLM в закрытом контуре».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Видеоаналитика </w:t>
      </w:r>
      <w:r>
        <w:rPr>
          <w:rFonts w:ascii="Arial" w:cs="Arial" w:eastAsia="Arial" w:hAnsi="Arial"/>
          <w:sz w:val="22"/>
          <w:szCs w:val="22"/>
        </w:rPr>
        <w:t xml:space="preserve">— ConstructionEye (СИЗ, периметр, нарушения).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Промышленный ИИ </w:t>
      </w:r>
      <w:r>
        <w:rPr>
          <w:rFonts w:ascii="Arial" w:cs="Arial" w:eastAsia="Arial" w:hAnsi="Arial"/>
          <w:sz w:val="22"/>
          <w:szCs w:val="22"/>
        </w:rPr>
        <w:t xml:space="preserve">— PredictMaintain (предиктивное обслуживание).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Compliance-ассистент </w:t>
      </w:r>
      <w:r>
        <w:rPr>
          <w:rFonts w:ascii="Arial" w:cs="Arial" w:eastAsia="Arial" w:hAnsi="Arial"/>
          <w:sz w:val="22"/>
          <w:szCs w:val="22"/>
        </w:rPr>
        <w:t xml:space="preserve">— на горизонте 60–90 дней, как сервис.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Какие страницы добавить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/cases/ </w:t>
      </w:r>
      <w:r>
        <w:rPr>
          <w:rFonts w:ascii="Arial" w:cs="Arial" w:eastAsia="Arial" w:hAnsi="Arial"/>
          <w:sz w:val="22"/>
          <w:szCs w:val="22"/>
        </w:rPr>
        <w:t xml:space="preserve">— минимум 3 публичных кейса с метриками (точность RAG, время отклика, экономия ФОТ, ROI). Если NDA — обезличенные кейсы с отраслевой привязкой.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/architecture/ </w:t>
      </w:r>
      <w:r>
        <w:rPr>
          <w:rFonts w:ascii="Arial" w:cs="Arial" w:eastAsia="Arial" w:hAnsi="Arial"/>
          <w:sz w:val="22"/>
          <w:szCs w:val="22"/>
        </w:rPr>
        <w:t xml:space="preserve">— типовые HLD/LLD внедрения (одностраничные PDF) для каждого продукта: где OS, где СУБД, где LLM, где модули ИБ.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/demo/ </w:t>
      </w:r>
      <w:r>
        <w:rPr>
          <w:rFonts w:ascii="Arial" w:cs="Arial" w:eastAsia="Arial" w:hAnsi="Arial"/>
          <w:sz w:val="22"/>
          <w:szCs w:val="22"/>
        </w:rPr>
        <w:t xml:space="preserve">— заявка на демо-стенд (с возможностью получить sandbox-доступ под NDA).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/compliance/ </w:t>
      </w:r>
      <w:r>
        <w:rPr>
          <w:rFonts w:ascii="Arial" w:cs="Arial" w:eastAsia="Arial" w:hAnsi="Arial"/>
          <w:sz w:val="22"/>
          <w:szCs w:val="22"/>
        </w:rPr>
        <w:t xml:space="preserve">— сертификаты, лицензии, реестр Минцифры, совместимость с Astra Linux/Postgres Pro, ФСТЭК-классы.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/industries/ </w:t>
      </w:r>
      <w:r>
        <w:rPr>
          <w:rFonts w:ascii="Arial" w:cs="Arial" w:eastAsia="Arial" w:hAnsi="Arial"/>
          <w:sz w:val="22"/>
          <w:szCs w:val="22"/>
        </w:rPr>
        <w:t xml:space="preserve">— отдельные лендинги: ТЭК, Финсектор, Госсектор, Здравоохранение, Промышленность, Образование.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/team/ </w:t>
      </w:r>
      <w:r>
        <w:rPr>
          <w:rFonts w:ascii="Arial" w:cs="Arial" w:eastAsia="Arial" w:hAnsi="Arial"/>
          <w:sz w:val="22"/>
          <w:szCs w:val="22"/>
        </w:rPr>
        <w:t xml:space="preserve">— лица, должности, сертификаты ключевых архитекторов и ML-инженеров (без этого «экспертная команда» — пустой буллет).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/faq-ciso/ </w:t>
      </w:r>
      <w:r>
        <w:rPr>
          <w:rFonts w:ascii="Arial" w:cs="Arial" w:eastAsia="Arial" w:hAnsi="Arial"/>
          <w:sz w:val="22"/>
          <w:szCs w:val="22"/>
        </w:rPr>
        <w:t xml:space="preserve">— типовые вопросы CISO: как с ПДн, как с КИИ-категорированием, как с госСОПКА, как с резервированием, какие GPU.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/blog/ </w:t>
      </w:r>
      <w:r>
        <w:rPr>
          <w:rFonts w:ascii="Arial" w:cs="Arial" w:eastAsia="Arial" w:hAnsi="Arial"/>
          <w:sz w:val="22"/>
          <w:szCs w:val="22"/>
        </w:rPr>
        <w:t xml:space="preserve">— кейсы внедрений, разборы инцидентов, методологии.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/pilot/ </w:t>
      </w:r>
      <w:r>
        <w:rPr>
          <w:rFonts w:ascii="Arial" w:cs="Arial" w:eastAsia="Arial" w:hAnsi="Arial"/>
          <w:sz w:val="22"/>
          <w:szCs w:val="22"/>
        </w:rPr>
        <w:t xml:space="preserve">— отдельный лендинг про пилот: что входит, сроки, стоимость, критерии приёмки.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/integrations/ </w:t>
      </w:r>
      <w:r>
        <w:rPr>
          <w:rFonts w:ascii="Arial" w:cs="Arial" w:eastAsia="Arial" w:hAnsi="Arial"/>
          <w:sz w:val="22"/>
          <w:szCs w:val="22"/>
        </w:rPr>
        <w:t xml:space="preserve">(на странице ContentGuard) — публичная матрица поддерживаемых SIEM/DLP/NGFW/EDR с указанием версий и сертификатов совместимости.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Какие формулировки заменить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«Передовые нейросетевые технологии» → «LLM и компьютерное зрение в закрытом контуре».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«Внедрение в критическую инфраструктуру» → «Внедрение для объектов КИИ 1–3 категории».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«За 4–8 недель развернём решение» → «За 4–8 недель разворачиваем пилот; промышленный запуск — 3–6 месяцев».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«Оркестрация ИБ-решений» (для ContentGuard) → «Аналитический слой и ИИ-обогащение данных от СЗИ».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Убрать «единственный», «уникальный», «передовой», «комплексный» — это слова без силы для CISO.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Какие доказательства компетенций показать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Сканы лицензий (или верификационные ссылки на сайт ФСТЭК/ФСБ).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Список проектов в открытой части (даже без имён) с регионом, отраслью, периметром.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Сертификаты ML/Data-инженеров и специалистов ИБ (CISSP, OSCP, CEH, ФСТЭК-курсы).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Архитектурные шаблоны внедрения в виде PDF.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Реестр Минцифры — после включения.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Сертификаты совместимости с Astra Linux, RED OS, Postgres Pro.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Для ContentGuard — публичная матрица интеграций с сертификатами совместимости.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Рекомендации по каталогу продуктов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Оставить как есть (с усилением)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AzoneDoc </w:t>
      </w:r>
      <w:r>
        <w:rPr>
          <w:rFonts w:ascii="Arial" w:cs="Arial" w:eastAsia="Arial" w:hAnsi="Arial"/>
          <w:sz w:val="22"/>
          <w:szCs w:val="22"/>
        </w:rPr>
        <w:t xml:space="preserve">— флагман № 1. Дополнить: сценарии (СЭД, юр.функция, HR, инженерия), benchmark качества, интеграции, сертификаты совместимости.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ContentGuard </w:t>
      </w:r>
      <w:r>
        <w:rPr>
          <w:rFonts w:ascii="Arial" w:cs="Arial" w:eastAsia="Arial" w:hAnsi="Arial"/>
          <w:sz w:val="22"/>
          <w:szCs w:val="22"/>
        </w:rPr>
        <w:t xml:space="preserve">— флагман № 2. Дополнить: матрица коннекторов, описание архитектуры аналитического слоя, кейсы обогащения данных от SIEM/DLP, сертификаты совместимости с одним SIEM (KUMA или MaxPatrol) и одним DLP (Solar Dozor или InfoWatch). Терминологически — не «оркестрация», а «аналитический слой и ИИ-обогащение». Имя бренда — без резкой смены, либо переходное двойное брендирование.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ConstructionEye </w:t>
      </w:r>
      <w:r>
        <w:rPr>
          <w:rFonts w:ascii="Arial" w:cs="Arial" w:eastAsia="Arial" w:hAnsi="Arial"/>
          <w:sz w:val="22"/>
          <w:szCs w:val="22"/>
        </w:rPr>
        <w:t xml:space="preserve">— самостоятельный продукт, отдельный лендинг для девелоперов и охраны труда.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PredictMaintain </w:t>
      </w:r>
      <w:r>
        <w:rPr>
          <w:rFonts w:ascii="Arial" w:cs="Arial" w:eastAsia="Arial" w:hAnsi="Arial"/>
          <w:sz w:val="22"/>
          <w:szCs w:val="22"/>
        </w:rPr>
        <w:t xml:space="preserve">— самостоятельный продукт, отдельный лендинг для главных инженеров ТЭК/промышленности.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Переупаковать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ContractGuard </w:t>
      </w:r>
      <w:r>
        <w:rPr>
          <w:rFonts w:ascii="Arial" w:cs="Arial" w:eastAsia="Arial" w:hAnsi="Arial"/>
          <w:sz w:val="22"/>
          <w:szCs w:val="22"/>
        </w:rPr>
        <w:t xml:space="preserve">— оставить отдельный лендинг и продажный канал в юрдепы, но технически реализовать как профильный плейбук поверх AzoneDoc-движка. Это даёт двойную упаковку (продукт + модуль) при единой кодовой базе.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Не объединять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ConstructionEye + PredictMaintain объединять не нужно — разные ЛПР и каналы.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Добавить (но как сервисы, а не продукты)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«Доверенное внедрение LLM в закрытом контуре» </w:t>
      </w:r>
      <w:r>
        <w:rPr>
          <w:rFonts w:ascii="Arial" w:cs="Arial" w:eastAsia="Arial" w:hAnsi="Arial"/>
          <w:sz w:val="22"/>
          <w:szCs w:val="22"/>
        </w:rPr>
        <w:t xml:space="preserve">— сервисный пакет (методология + open-source guardrails + анонимизация + аудит-логирование). Не продукт. Готов за 60 дней. Логично дополняет ContentGuard в блоке «Безопасность и ИИ-аналитика».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«Compliance-ассистент» </w:t>
      </w:r>
      <w:r>
        <w:rPr>
          <w:rFonts w:ascii="Arial" w:cs="Arial" w:eastAsia="Arial" w:hAnsi="Arial"/>
          <w:sz w:val="22"/>
          <w:szCs w:val="22"/>
        </w:rPr>
        <w:t xml:space="preserve">— сервис автоматизации проверок 152-ФЗ / 187-ФЗ / КИИ с ИИ-ускорителями. Готов за 90 дней.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Ослабить или убрать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Идею AI-Sentinel </w:t>
      </w:r>
      <w:r>
        <w:rPr>
          <w:rFonts w:ascii="Arial" w:cs="Arial" w:eastAsia="Arial" w:hAnsi="Arial"/>
          <w:sz w:val="22"/>
          <w:szCs w:val="22"/>
        </w:rPr>
        <w:t xml:space="preserve">как сертифицированного флагмана — отложить до 2027 г. как продукт-цель, в 2026 г. — продавать как сервис.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Идею Agent-SOC </w:t>
      </w:r>
      <w:r>
        <w:rPr>
          <w:rFonts w:ascii="Arial" w:cs="Arial" w:eastAsia="Arial" w:hAnsi="Arial"/>
          <w:sz w:val="22"/>
          <w:szCs w:val="22"/>
        </w:rPr>
        <w:t xml:space="preserve">— не запускать.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Флагманы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сайте: </w:t>
      </w:r>
      <w:r>
        <w:rPr>
          <w:rFonts w:ascii="Arial" w:cs="Arial" w:eastAsia="Arial" w:hAnsi="Arial"/>
          <w:sz w:val="22"/>
          <w:szCs w:val="22"/>
        </w:rPr>
        <w:t xml:space="preserve">AzoneDoc (документы и знания) и ContentGuard (ИБ-аналитика) — связка двух якорей.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отраслевых событиях </w:t>
      </w:r>
      <w:r>
        <w:rPr>
          <w:rFonts w:ascii="Arial" w:cs="Arial" w:eastAsia="Arial" w:hAnsi="Arial"/>
          <w:sz w:val="22"/>
          <w:szCs w:val="22"/>
        </w:rPr>
        <w:t xml:space="preserve">(Армия, ТБ Форум, ИБ-конференции): «Доверенное внедрение LLM» как сервис с показом архитектуры.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Практический план 30/60/90 дней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30 дней (foundation: контент, доверие, лиды)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Аудит и нормализация описаний 5 продуктов на сайте — каждый продукт получает: задачу, ЦА, технические характеристики, требования к инфраструктуре, формат пилота, цену пилота.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Главная страница переписана под формулу «Лицензии + on-premise + пилот 4–8 недель + доверие».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Скан лицензий и сертификатов размещён на отдельной странице со ссылками на верификацию.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Страница ContentGuard переписана под корректное позиционирование («аналитический слой и ИИ-обогащение над СЗИ», без «оркестрации»). Опубликована матрица поддерживаемых коннекторов (NGFW, DLP, SIEM, EDR, NTA) + архитектурная схема «куда встаёт продукт в инфраструктуре ИБ заказчика».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3 кейса (даже обезличенных) с цифрами выложены в /cases/.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Lead magnet — PDF «Архитектура внедрения LLM в закрытом контуре КИИ» — на главной.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Отраслевые лендинги (черновики) для 3 ключевых индустрий — ТЭК, Финсектор, Госсектор.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FAQ для CISO — 15 вопросов с ответами.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Подача документов в реестр Минцифры для AzoneDoc и ContentGuard (если ещё не подано).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Удалить «единственный/уникальный» и любые непроверяемые превосходные степени.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60 дней (presales-комплект, ABM, пилоты)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Pre-sales pack для каждого продукта: опросный лист, расчёт пилота, шаблон договора пилота, типовой HLD, чек-лист готовности заказчика.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Демо-стенд (sandbox) для AzoneDoc и ContentGuard — доступ по NDA. Это резко поднимает доверие CISO.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Сертификаты совместимости ContentGuard с одним российским SIEM (KUMA или MaxPatrol) и одним DLP (Solar Dozor или InfoWatch) — это превращает ContentGuard из «слайда» в проверенную интеграцию.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ABM-материалы для топ-30 целевых аккаунтов: «10 точек применения LLM в [отрасль] на горизонте 12 месяцев» — отраслевой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Кейсы с метриками (минимум 5) — публиковать ежемесячно.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Сервисная упаковка «Доверенное внедрение LLM» — описание, цена пилота, методология, презентация. Размещение в блоке «Безопасность и ИИ-аналитика» рядом с ContentGuard.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Сертификаты совместимости с Astra Linux, Postgres Pro, RED OS — для AzoneDoc и одного из других продуктов.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Партнёрское соглашение хотя бы с одним облаком (Cloud.ru или MWS) о развёртывании в закрытом контуре.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Подача в реестр Минцифры для всех продуктов, у которых это ещё не сделано.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90 дней (масштаб: сертификации, кейсы, отраслевые мероприятия)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Старт сертификации ФСТЭК для AzoneDoc на класс защищённости (минимум подача документов, понимание, что это 9–18 мес.).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Compliance-ассистент — публичный анонс как сервис.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3–5 пилотов на разных продуктах в работе, с открытым отчётом по двум.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Отраслевые мероприятия: Армия-2026, ТБ Форум, ИБ-Кубок России, BIS Summit, ИТ-форумы по индустриям.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Партнёрская программа с UserGate / Positive Technologies / Kaspersky / Solar по упаковке AzoneDoc + ContentGuard + их СЗИ для ТЭК и финсектора.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План продуктовой R&amp;D на 2026–2027 — что разрабатываем сами (RAG-движок, аналитический слой ContentGuard, плейбуки), что покупаем как OEM, что собираем из open-source.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Бюджет на собственный AI-Sentinel — решение «делаем/не делаем» принимается на основании 3 пилотов «доверенного внедрения LLM», которые покажут, есть ли реальный спрос на отдельный продукт-шлюз.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Итоговый управленческий вывод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Исходный анализ — это аналитический фрейм с правильной интуицией, </w:t>
      </w:r>
      <w:r>
        <w:rPr>
          <w:rFonts w:ascii="Arial" w:cs="Arial" w:eastAsia="Arial" w:hAnsi="Arial"/>
          <w:sz w:val="22"/>
          <w:szCs w:val="22"/>
        </w:rPr>
        <w:t xml:space="preserve">который верно видит две сильные стороны портфеля АЗОН (AzoneDoc и ContentGuard) и корректно оценивает макро-тренды 2026. Однако в нём есть две стратегические ошибки (фантомный флагман AI-Sentinel, объединение Industrial-блока), несколько тактических неточностей (заявление «единственный сертифицированный», тезис об обесценивании legal-AI, термин «оркестрация» для ContentGuard) и системный пробел в B2G-тактике (нет реестра Минцифры, сертификации ФСТЭК, presales-комплекта, отраслевых лендингов, кейсов).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Главный риск, если принять анализ как есть: АЗОН за 6–9 месяцев пройдёт ребрендинг, заявит «флагман» AI-Sentinel — и встретит рынок без продуктовой зрелости, без сертификатов СрЗИ, без референсов и без отстройки от Kaspersky/Solar/Positive. Это путь к репутационным потерям в B2G, где CISO и закупщики проверяют каждое заявление.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Правильный путь для АЗОНа в 2026 г.: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ломать </w:t>
      </w:r>
      <w:r>
        <w:rPr>
          <w:rFonts w:ascii="Arial" w:cs="Arial" w:eastAsia="Arial" w:hAnsi="Arial"/>
          <w:sz w:val="22"/>
          <w:szCs w:val="22"/>
        </w:rPr>
        <w:t xml:space="preserve">работающую часть каталога (AzoneDoc, ContentGuard, ConstructionEye, PredictMaintain — оставить как самостоятельные продукты).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Усилить связку «AzoneDoc + ContentGuard» </w:t>
      </w:r>
      <w:r>
        <w:rPr>
          <w:rFonts w:ascii="Arial" w:cs="Arial" w:eastAsia="Arial" w:hAnsi="Arial"/>
          <w:sz w:val="22"/>
          <w:szCs w:val="22"/>
        </w:rPr>
        <w:t xml:space="preserve">как двух якорей: один работает с операционными данными (документы, знания), другой — с инфраструктурными (события ИБ). Это даёт логичный нарратив «ИИ для двух главных потоков данных в КИИ».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запускать </w:t>
      </w:r>
      <w:r>
        <w:rPr>
          <w:rFonts w:ascii="Arial" w:cs="Arial" w:eastAsia="Arial" w:hAnsi="Arial"/>
          <w:sz w:val="22"/>
          <w:szCs w:val="22"/>
        </w:rPr>
        <w:t xml:space="preserve">собственный «флагманский» продукт класса AI Gateway. Вместо этого продавать сервис «доверенного внедрения LLM» — это короткий time-to-market, монетизирует именно то, в чём АЗОН реально силён (лицензии + интеграция + on-premise).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Сначала навести порядок </w:t>
      </w:r>
      <w:r>
        <w:rPr>
          <w:rFonts w:ascii="Arial" w:cs="Arial" w:eastAsia="Arial" w:hAnsi="Arial"/>
          <w:sz w:val="22"/>
          <w:szCs w:val="22"/>
        </w:rPr>
        <w:t xml:space="preserve">на сайте: лицензии, кейсы, архитектура, демо, FAQ для CISO, отраслевые лендинги, матрица коннекторов ContentGuard. Это даст +20–40% к конверсии лидов без единого нового продукта.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Подать в реестр Минцифры </w:t>
      </w:r>
      <w:r>
        <w:rPr>
          <w:rFonts w:ascii="Arial" w:cs="Arial" w:eastAsia="Arial" w:hAnsi="Arial"/>
          <w:sz w:val="22"/>
          <w:szCs w:val="22"/>
        </w:rPr>
        <w:t xml:space="preserve">все продукты, на которые это применимо, и начать сертификацию ФСТЭК для AzoneDoc.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Принять решение по AI-Sentinel </w:t>
      </w:r>
      <w:r>
        <w:rPr>
          <w:rFonts w:ascii="Arial" w:cs="Arial" w:eastAsia="Arial" w:hAnsi="Arial"/>
          <w:sz w:val="22"/>
          <w:szCs w:val="22"/>
        </w:rPr>
        <w:t xml:space="preserve">как продукту в Q3 2026 — на основании результатов 3–5 пилотов «доверенного внедрения». Если спрос есть и понятна разница между АЗОНом и Kaspersky/Solar — запускать R&amp;D на 2027. Если нет — оставаться в сервисной модели.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Compliance-AI </w:t>
      </w:r>
      <w:r>
        <w:rPr>
          <w:rFonts w:ascii="Arial" w:cs="Arial" w:eastAsia="Arial" w:hAnsi="Arial"/>
          <w:sz w:val="22"/>
          <w:szCs w:val="22"/>
        </w:rPr>
        <w:t xml:space="preserve">— запускать, но как сервис под лицензии АЗОН, а не как продукт-конкурент R-Vision/Security Vision.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Стратегия АЗОНа 2026 — это «доверенный интегратор ИИ для КИИ с двумя продуктами-якорями (AzoneDoc, ContentGuard) и двумя нишевыми продуктами», </w:t>
      </w:r>
      <w:r>
        <w:rPr>
          <w:rFonts w:ascii="Arial" w:cs="Arial" w:eastAsia="Arial" w:hAnsi="Arial"/>
          <w:sz w:val="22"/>
          <w:szCs w:val="22"/>
        </w:rPr>
        <w:t xml:space="preserve">а не «вендор пяти платформ». Это честная, реализуемая и продаваемая позиция. Попытка стать вендором пяти платформ за 12 месяцев — путь к размыванию ресурсов и потере главного преимущества: лицензий и репутации интегратора с 20-летней историей в ИБ.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Управленческий KPI на 2026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15 пилотов AzoneDoc в КИИ;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8 пилотов ContentGuard с публичной матрицей интеграций минимум на 6 SIEM/DLP/NGFW/EDR;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Включение в реестр Минцифры всех 5 продуктов;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5 публичных кейсов с цифрами ROI;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Начатая сертификация ФСТЭК для AzoneDoc и (опционально) ContentGuard;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Сервисный пакет «доверенного внедрения LLM» с 3+ пилотами.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Это даёт измеримую базу для решения о запуске собственного шлюза LLM в 2027 г.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Приложение: Таблица оценки 10 предложений исходного анализа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400"/>
        <w:gridCol w:w="3200"/>
        <w:gridCol w:w="4400"/>
        <w:gridCol w:w="1100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Предложение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Аргументация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Сделать AzoneDoc центральным продуктом (RAG для корп. знаний, on-premise)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Принять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Усилить позиционирование: отдельный лендинг, кейсы по СЭД/1С, замер качества (Recall@k, latency), интеграции с Postgres Pro, Astra Linux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единственный продукт линейки с очевидной товарной зрелостью и широким спросом в B2G/КИИ. Конкуренты — Just AI Jay Knowledge Hub, MTS AI, Cognitive Pilot, Embedika, ContentAI Intelligent Search — но ниша не «занята».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Доработать ContentGuard как Security Intelligence платформу (интеграция и ИИ-аналитика поверх NGFW/DLP/SIEM)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Принять с уточнением позиционирования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(а) Не использовать термин «оркестрация ИБ-решений» — это категория SOAR (R-Vision, Security Vision, Kaspersky SOAR), которой ContentGuard не является. Точнее: «аналитический слой и ИИ-обогащение данных от СЗИ», «ИИ-надстройка над инфраструктурой ИБ заказчика».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(б) Позиционировать как дополнение, а не замену существующих NGFW/DLP/SIEM/EDR.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(в) С переименованием — осторожно: если за брендом ContentGuard уже накоплен SEO-капитал и упоминания в кейсах, лучше переписать описание без смены имени, либо использовать переходное двойное брендирование «ContentGuard (Azone Security Hub)».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(г) Опубликовать матрицу поддерживаемых коннекторов: KUMA, MaxPatrol SIEM, Solar Dozor, InfoWatch Traffic Monitor, UserGate, Континент, Kaspersky EDR — без этого продукт остаётся «чёрным ящиком» и не пройдёт ТЗ в КИИ.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(д) Получить сертификаты совместимости минимум с одним SIEM и одним DLP.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Идея верная и даёт АЗОНу сильное продуктовое предложение в связке с AzoneDoc: один продукт работает с операционными данными (документы, знания), другой — с инфраструктурными (события ИБ). Это логичный нарратив «ИИ для двух главных потоков данных в КИИ».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флагман Azone AI-Sentinel (LLM-шлюз, prompt injection, ауд. след)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Доработать → отложить как «продукт-2027»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 2026 год — выпустить референсную сборку на open-source (NeMo Guardrails, LLM Guard, Llama Guard) + собственная обвязка (логирование, анонимизация ПДн, RBAC). Не вендорский продукт, а сервисный пакет «Безопасное внедрение LLM в закрытом контуре».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Категория реальная и растущая, но: (а) для собственного сертифицированного продукта нужно 12–18 мес. R&amp;D + 6–9 мес. сертификации ФСТЭК; (б) уже работают Solar (направление AI-безопасности), MTS AI, Servicepipe, Kaspersky (анонсы по AI security), стартапы; (в) у АЗОНа нет публичной ML-команды на этом уровне. Делать «единственный сертифицированный шлюз» — заявление, которое нечем подкрепить за 6–9 месяцев.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Объединить ConstructionEye и PredictMaintain в «Industrial AI»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Отклонить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Оставить как два отдельных продукта с общим технологическим бэкендом (CV/анализ временных рядов), но раздельным go-to-market.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ЦА радикально разные: ConstructionEye — девелоперы, ген- и субподрядчики, СРО, охрана труда; PredictMaintain — главный инженер ТЭК / промышленности / транспорта. Каналы продаж, ЛПР, бюджеты, регуляторы (Ростехнадзор vs Минстрой) разные. Объединение убивает SEO, лиды и презентационную ясность. Это упрощение карточки сайта ценой потери двух самостоятельных лид-каналов.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 (не объединять)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Свернуть ContractGuard в модуль AzoneDoc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Доработать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Сохранить ContractGuard как отдельный лендинг и пресейл-сценарий для юр. департаментов, но технически реализовать как профильный плейбук поверх AzoneDoc. То есть: один движок — две упаковки.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Тезис «GigaChat/YandexGPT обесценили нишу» — ложен. Embedika Contract, Doczilla, Noroots, Lawrence, Casebook продолжают расти; крупные юрдепы хотят on-premise + плейбуки + интеграцию с СЭД, чего GigaChat «из коробки» не даёт. Самостоятельный канал лидов из юр. функции — отдельный, и его нельзя просто «спрятать» в knowledge management. Слабость продукта реальна, но решение — фокус, а не схлопывание.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Azone Compliance-AI (152-ФЗ, КИИ, отчётность для РКН/ФСТЭК)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Принять с оговорками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позиционировать как «ИИ-продукт», а как ИИ-ассистент поверх стандартного GRC-функционала. Сначала — экспертный сервис (consulting + automation), затем — пакетируемый продукт.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Ниша GRC занята: R-Vision SGRC, Security Vision GRC, ePlat4m, Альт-X. Конкурировать с ними как вендор — тяжело. Но как интегратор с лицензиями ФСТЭК/ФСБ, который продаёт «упакованный compliance под ключ» с ИИ-ускорителями — реально и востребовано в среднем КИИ.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Azone Agent-SOC (ИИ-помощник аналитика SOC)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Отклонить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запускать собственный продукт. Можно делать как сервис поверх Kaspersky/Solar/PT SIEM.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Категория плотная: уже есть Kaspersky MaxPatrol O2, Solar JSOC, BI.ZONE, RT-SOC, PT MaxPatrol. Без собственных MSSP-мощностей и SOC-команды АЗОН не выйдет на рынок.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 (не делать)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Заявить, что AI-Sentinel — «единственный сертифицированный on-premise шлюз LLM в РФ»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Отклонить категорически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Убрать формулировку. Заменить на «доверенная on-premise архитектура внедрения LLM на базе АЗОН».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(а) сертификация ФСТЭК для класса «средство защиты» занимает от 9 до 18 мес. и стоит ~10–25 млн ₽; (б) подобные заявления без сертификата — репутационный риск с ФАС и заказчиком. Категорически нельзя писать «единственный сертифицированный», если сертификат не получен.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Ссылка на «Gartner-тренд 2026» как обоснование флагмана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Доработать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Заменить на конкретные источники: Gartner AI TRiSM (с 2023 г.), Hype Cycle for AI 2024–2025 (Guardian Agents, AI Security Posture Management), отчёты OWASP Top 10 for LLM Applications, российские публикации (АНО «Цифровая экономика», МИФИ).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Тренд реальный, но обоснование «Gartner называет ключевым» в текущей формулировке — это аргумент с непроверяемым источником, что ослабляет тезис в B2G-разговоре.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Реструктуризация в 3 блока (Security / Enterprise AI / Industry AI)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Доработать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Сделать 4 блока: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Знания и документы — AzoneDoc + ContractGuard-плейбук;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(2) Безопасность и ИИ-аналитика — ContentGuard + сервис «доверенное внедрение LLM»;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(3) Видеоаналитика — ConstructionEye;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(4) Промышленный ИИ — PredictMaintain.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 горизонте 60–90 дней — добавить (5) Compliance-ассистент.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Структура в 3 блока выглядит маркетингово красиво, но затирает реальные различия каналов продаж между девелоперами и ТЭК.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2026-05-08T06:18:40.203Z</dcterms:created>
  <dcterms:modified xsi:type="dcterms:W3CDTF">2026-05-08T06:18:40.203Z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