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Risk/Return Optimiser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Purpose: tool to help clients choose a level of risk and return they are comfortable with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Basic components: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 (not client facing) – tabs labelled “Data” and “Client Details”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Optimisation (not client facing) – tab labelled “Optimisation”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Outputs (client facing) – tabs labelled “Output (Numerical)” and Output (Graphs)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Cashflow projections (client facing) – tabs labelled “Cashflow (Projection)” and Cashflow (Graphs)”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Inputs include: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Capital market estimates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per asset class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deviation per asset class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Correlation between asset classes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Tax rates per structure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Constraints manually applied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Proportional location (ie structure/s) up to 3 locations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Optimisation includes: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simulations (depends on processing power / time this takes)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Monte carlo or other randomised method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Takes into consideration client’s (after tax) locations on proportional basis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 will show: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Efficient frontier based on risk / return results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Separated into say 10 “portfolio” options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 asset allocation per entity for each portfolio option in both % and graphs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Cashflow projections: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Utilising chosen portfolio, show effects of cash inflows / outflows over time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 result over time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·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95E44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95E44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95E44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95E44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95E4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95E44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95E44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95E44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95E4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95E4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95E4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95E4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95E4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95E4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95E44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95E4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95E4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95E44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95E4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95E44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95E44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raRNpAYf5rJNDGiJUSdj9kPiHg==">CgMxLjA4AHIhMW1fb1RqQjBsOFRHdXFpUWpld1ZoNW9UVnF0X3VxTUt0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2025-10-25T23:11:00Z</dcterms:created>
  <dc:creator>Dana Korn</dc:creator>
</cp:coreProperties>
</file>