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c4c4c"/>
          <w:sz w:val="36"/>
          <w:szCs w:val="36"/>
          <w:rtl w:val="0"/>
        </w:rPr>
        <w:t xml:space="preserve">Madhurima Saxena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32323"/>
          <w:sz w:val="21"/>
          <w:szCs w:val="21"/>
          <w:rtl w:val="0"/>
        </w:rPr>
        <w:t xml:space="preserve">Data &amp; AI Solutions Architect | Databricks, GenAI &amp; Field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32323"/>
          <w:sz w:val="18"/>
          <w:szCs w:val="18"/>
          <w:rtl w:val="0"/>
        </w:rPr>
        <w:t xml:space="preserve">madhurima.saxena@gmail.com | (925) 922-2743 | </w:t>
      </w:r>
      <w:hyperlink r:id="rId6">
        <w:r w:rsidDel="00000000" w:rsidR="00000000" w:rsidRPr="00000000">
          <w:rPr>
            <w:rFonts w:ascii="Arial" w:cs="Arial" w:eastAsia="Arial" w:hAnsi="Arial"/>
            <w:color w:val="0066cc"/>
            <w:sz w:val="18"/>
            <w:szCs w:val="18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  <w:t xml:space="preserve">Solutions Architect bridging deep data engineering, consulting-led delivery and customer-facing solution design. 10+ years of experience building cloud data platforms, production data pipelines, and governed analytics. Hands-on experience delivering production GenAI workloads for enterprise customers, and strong experience with pre-sales solutioning, executive presentations, AWS and Databricks partner co-sell and data and AI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Selected Impact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Delivered a production Databricks RAG foundation for industrial service and engineering data, ingesting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50K+ PDFs with 99.3% 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 within the planned production window.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Co-led GenAI and agentic AI solutioning with AWS ProServe for a global energy customer, advancing unit-level risk analysis toward broader fleet intelligence and production use cases.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Led pre-sales architecture, RFP responses, and customer workshops, contributing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$3M+ in new cloud data and analytics opportunities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pStyle w:val="Heading2"/>
        <w:keepNext w:val="1"/>
        <w:spacing w:after="26" w:before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32323"/>
          <w:sz w:val="20"/>
          <w:szCs w:val="20"/>
          <w:rtl w:val="0"/>
        </w:rPr>
        <w:t xml:space="preserve">Slalom | Solutions Architect | Sep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Led the transition from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POC win to production 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 for Databricks and GenAI use cases at a global energy customer, including Unit Risk Assessment, predictive maintenance, and outage-scope agent capabilities.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Architected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metadata-driven RAG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 using Databricks Vector Search and controlled LLM usage, enabling scalable, cost-efficient retrieval across industrial service and engineering data.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Directed technical delivery across customer, Slalom, and AWS ProServe teams, resolving priorities, risks, dependencies, engineering ownership, and UAT-driven data issues to maintain production timelines.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Built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MLflow evaluation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 that reduced GenAI rollout risk by validating retrieval coverage, extraction quality, and token-policy changes before production releases.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Led data strategy and architecture discovery for a global CRM incentive compensation organization, assessing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10+ source systems, 20+ programs, and 80+ reports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 to identify compliance gaps and define future-state data needs.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Aligned analytics, enterprise architecture, and platform stakeholders on a North Star architecture, data governance model, and implementation guidance for incentive compensation analytics.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Led delivery of a production lakehouse platform using Spark, Iceberg, and Airflow for the AI/ML organization of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global consumer technology leader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, helping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expand the client engagement 3×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Created Databricks COE field-enablement assets, including Insurance 360 content used in Data + AI Summit 2026 booth demos, and shared reusable lakehouse, RAG, and AI delivery patterns at architecture forums and Data &amp; AI all-hands.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Professional Experience (continued)</w:t>
      </w:r>
    </w:p>
    <w:p w:rsidR="00000000" w:rsidDel="00000000" w:rsidP="00000000" w:rsidRDefault="00000000" w:rsidRPr="00000000" w14:paraId="00000016">
      <w:pPr>
        <w:pStyle w:val="Heading2"/>
        <w:keepNext w:val="1"/>
        <w:spacing w:after="26" w:before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32323"/>
          <w:sz w:val="20"/>
          <w:szCs w:val="20"/>
          <w:rtl w:val="0"/>
        </w:rPr>
        <w:t xml:space="preserve">Ellie Mae (ICE Mortgage) | Data Architect (previously Data Engineer) | Jul 2015 –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Designed and scaled an enterprise data platform, migrating from RabbitMQ to Kafka to deliver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10× higher throughput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 and improved reliability.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Optimized production Spark-on-EMR pipelines, reducing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compute cost 60%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 and improving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query latency 80%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Implemented Infrastructure as Code with Terraform and Jenkins, plus observability for production Spark pipelines.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Partnered with product and architecture teams to evaluate Snowflake and AWS Glue for modernization of ETL workflows.</w:t>
      </w:r>
    </w:p>
    <w:p w:rsidR="00000000" w:rsidDel="00000000" w:rsidP="00000000" w:rsidRDefault="00000000" w:rsidRPr="00000000" w14:paraId="0000001B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Earlier Experience</w:t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color w:val="232323"/>
          <w:sz w:val="20"/>
          <w:szCs w:val="20"/>
          <w:rtl w:val="0"/>
        </w:rPr>
        <w:t xml:space="preserve">Designed and delivered enterprise systems using Java, C#, and RESTful APIs for SaaS, financial services, and manufacturing organizations.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Consulting &amp; Field Engineering: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Technical discovery, solution architecture, customer workshops, architecture reviews, executive presentations, stakeholder alignment, operational governance, RFP/SOW support, solution demos, partner collaboration.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Data &amp; AI Architecture: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Lakehouse and Medallion architectures, RAG pipelines, agentic AI patterns, metadata-driven retrieval, chunking, embeddings, data governance, RBAC, observability, cost optimization.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Databricks, Unity Catalog, Delta Lake, Vector Search, MLflow, Model Serving, PySpark, SQL, Python, Apache Iceberg, Airflow, Kafka, AWS Bedrock, Strands, S3, Glue, EMR, Kinesis, Redshift, Athena, Terraform, Jenkins.</w:t>
      </w:r>
    </w:p>
    <w:p w:rsidR="00000000" w:rsidDel="00000000" w:rsidP="00000000" w:rsidRDefault="00000000" w:rsidRPr="00000000" w14:paraId="00000021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17" w:right="0" w:hanging="2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•  Databricks Certified Generative AI Engineer Associate (2026) | Databricks Certified Data Engineer Associate (2025) | AWS Certified Data Analytics – Specialty (2021)</w:t>
      </w:r>
    </w:p>
    <w:p w:rsidR="00000000" w:rsidDel="00000000" w:rsidP="00000000" w:rsidRDefault="00000000" w:rsidRPr="00000000" w14:paraId="00000023">
      <w:pPr>
        <w:pStyle w:val="Heading1"/>
        <w:keepNext w:val="1"/>
        <w:pBdr>
          <w:bottom w:color="777777" w:space="1" w:sz="5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32323"/>
          <w:sz w:val="20"/>
          <w:szCs w:val="20"/>
          <w:rtl w:val="0"/>
        </w:rPr>
        <w:t xml:space="preserve">Master of Computer Applications (MCA)</w:t>
      </w:r>
      <w:r w:rsidDel="00000000" w:rsidR="00000000" w:rsidRPr="00000000">
        <w:rPr>
          <w:rFonts w:ascii="Arial" w:cs="Arial" w:eastAsia="Arial" w:hAnsi="Arial"/>
          <w:color w:val="232323"/>
          <w:sz w:val="20"/>
          <w:szCs w:val="20"/>
          <w:rtl w:val="0"/>
        </w:rPr>
        <w:t xml:space="preserve"> — Motilal Nehru National Institute of Technology Allahabad, 2001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35" w:top="835" w:left="1037" w:right="1037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2323"/>
        <w:lang w:val="en"/>
      </w:rPr>
    </w:rPrDefault>
    <w:pPrDefault>
      <w:pPr>
        <w:spacing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140" w:lineRule="auto"/>
    </w:pPr>
    <w:rPr>
      <w:rFonts w:ascii="Arial" w:cs="Arial" w:eastAsia="Arial" w:hAnsi="Arial"/>
      <w:b w:val="1"/>
      <w:bCs w:val="1"/>
      <w:color w:val="4c4c4c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40" w:before="80" w:lineRule="auto"/>
    </w:pPr>
    <w:rPr>
      <w:rFonts w:ascii="Arial" w:cs="Arial" w:eastAsia="Arial" w:hAnsi="Arial"/>
      <w:b w:val="1"/>
      <w:bCs w:val="1"/>
      <w:color w:val="4c4c4c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dhurimasaxe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