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pPr>
    </w:p>
    <w:p>
      <w:pPr>
        <w:pageBreakBefore w:val="0"/>
      </w:pPr>
    </w:p>
    <w:p>
      <w:pPr>
        <w:pageBreakBefore w:val="0"/>
      </w:pPr>
    </w:p>
    <w:p>
      <w:pPr>
        <w:pageBreakBefore w:val="0"/>
      </w:pPr>
    </w:p>
    <w:p>
      <w:pPr>
        <w:pageBreakBefore w:val="0"/>
      </w:pPr>
    </w:p>
    <w:p>
      <w:pPr>
        <w:pageBreakBefore w:val="0"/>
        <w:jc w:val="center"/>
      </w:pPr>
      <w:r>
        <w:rPr>
          <w:b/>
          <w:color w:val="2859F6"/>
          <w:sz w:val="18"/>
        </w:rPr>
        <w:t>PUSL2020 - Software Development Tools and Practices</w:t>
      </w:r>
    </w:p>
    <w:p>
      <w:pPr>
        <w:pageBreakBefore w:val="0"/>
        <w:jc w:val="center"/>
      </w:pPr>
      <w:r>
        <w:rPr>
          <w:b/>
          <w:color w:val="111417"/>
          <w:sz w:val="56"/>
        </w:rPr>
        <w:t>Project Proposal Compliance</w:t>
        <w:br/>
        <w:t>Service</w:t>
      </w:r>
    </w:p>
    <w:p>
      <w:pPr>
        <w:pageBreakBefore w:val="0"/>
        <w:jc w:val="center"/>
      </w:pPr>
      <w:r>
        <w:rPr>
          <w:color w:val="5F6874"/>
          <w:sz w:val="22"/>
        </w:rPr>
        <w:t>Technical Report for Referral Coursework 25-26</w:t>
      </w:r>
    </w:p>
    <w:p>
      <w:pPr>
        <w:pageBreakBefore w:val="0"/>
        <w:jc w:val="center"/>
      </w:pPr>
      <w:r>
        <w:rPr>
          <w:color w:val="5F6874"/>
          <w:sz w:val="22"/>
        </w:rPr>
        <w:t>Student: Navida Perera</w:t>
      </w:r>
    </w:p>
    <w:p>
      <w:pPr>
        <w:pageBreakBefore w:val="0"/>
        <w:jc w:val="center"/>
      </w:pPr>
      <w:r>
        <w:rPr>
          <w:color w:val="5F6874"/>
          <w:sz w:val="22"/>
        </w:rPr>
        <w:t>Deliverable: ASP.NET Core Web API, premium web console, automated tests, and submission package</w:t>
      </w:r>
    </w:p>
    <w:p>
      <w:pPr>
        <w:pageBreakBefore w:val="0"/>
      </w:pPr>
    </w:p>
    <w:p>
      <w:pPr>
        <w:pageBreakBefore w:val="0"/>
      </w:pPr>
    </w:p>
    <w:p>
      <w:pPr>
        <w:pageBreakBefore w:val="0"/>
      </w:pPr>
    </w:p>
    <w:p>
      <w:pPr>
        <w:pageBreakBefore w:val="0"/>
      </w:pPr>
    </w:p>
    <w:tbl>
      <w:tblPr>
        <w:tblW w:type="auto" w:w="0"/>
        <w:jc w:val="center"/>
        <w:tblLayout w:type="fixed"/>
        <w:tblLook w:firstColumn="1" w:firstRow="1" w:lastColumn="0" w:lastRow="0" w:noHBand="0" w:noVBand="1" w:val="04A0"/>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4997"/>
        <w:gridCol w:w="4997"/>
      </w:tblGrid>
      <w:tr>
        <w:tc>
          <w:tcPr>
            <w:tcW w:type="dxa" w:w="2592"/>
            <w:tcMar>
              <w:top w:w="100" w:type="dxa"/>
              <w:start w:w="100" w:type="dxa"/>
              <w:bottom w:w="100" w:type="dxa"/>
              <w:end w:w="100" w:type="dxa"/>
            </w:tcMar>
            <w:shd w:fill="F4F7FB"/>
            <w:vAlign w:val="center"/>
          </w:tcPr>
          <w:p>
            <w:pPr>
              <w:spacing w:after="0"/>
            </w:pPr>
            <w:r/>
            <w:r>
              <w:rPr>
                <w:rFonts w:ascii="Arial" w:hAnsi="Arial" w:eastAsia="Arial"/>
                <w:b/>
                <w:color w:val="111417"/>
                <w:sz w:val="16"/>
              </w:rPr>
              <w:t>Technology</w:t>
            </w:r>
          </w:p>
        </w:tc>
        <w:tc>
          <w:tcPr>
            <w:tcW w:type="dxa" w:w="6336"/>
            <w:tcMar>
              <w:top w:w="100" w:type="dxa"/>
              <w:start w:w="100" w:type="dxa"/>
              <w:bottom w:w="100" w:type="dxa"/>
              <w:end w:w="100" w:type="dxa"/>
            </w:tcMar>
            <w:shd w:fill="F4F7FB"/>
            <w:vAlign w:val="center"/>
          </w:tcPr>
          <w:p>
            <w:pPr>
              <w:spacing w:after="0"/>
            </w:pPr>
            <w:r/>
            <w:r>
              <w:rPr>
                <w:rFonts w:ascii="Arial" w:hAnsi="Arial" w:eastAsia="Arial"/>
                <w:b/>
                <w:color w:val="111417"/>
                <w:sz w:val="16"/>
              </w:rPr>
              <w:t>ASP.NET Core 9 Web API</w:t>
            </w:r>
          </w:p>
        </w:tc>
      </w:tr>
      <w:tr>
        <w:tc>
          <w:tcPr>
            <w:tcW w:type="dxa" w:w="2592"/>
            <w:tcMar>
              <w:top w:w="100" w:type="dxa"/>
              <w:start w:w="100" w:type="dxa"/>
              <w:bottom w:w="100" w:type="dxa"/>
              <w:end w:w="100" w:type="dxa"/>
            </w:tcMar>
            <w:shd w:fill="FBFCFE"/>
            <w:vAlign w:val="center"/>
          </w:tcPr>
          <w:p>
            <w:pPr>
              <w:spacing w:after="0"/>
            </w:pPr>
            <w:r/>
            <w:r>
              <w:rPr>
                <w:rFonts w:ascii="Arial" w:hAnsi="Arial" w:eastAsia="Arial"/>
                <w:b/>
                <w:color w:val="111417"/>
                <w:sz w:val="16"/>
              </w:rPr>
              <w:t>Architecture</w:t>
            </w:r>
          </w:p>
        </w:tc>
        <w:tc>
          <w:tcPr>
            <w:tcW w:type="dxa" w:w="6336"/>
            <w:tcMar>
              <w:top w:w="100" w:type="dxa"/>
              <w:start w:w="100" w:type="dxa"/>
              <w:bottom w:w="100" w:type="dxa"/>
              <w:end w:w="100" w:type="dxa"/>
            </w:tcMar>
            <w:shd w:fill="FBFCFE"/>
            <w:vAlign w:val="center"/>
          </w:tcPr>
          <w:p>
            <w:pPr>
              <w:spacing w:after="0"/>
            </w:pPr>
            <w:r/>
            <w:r>
              <w:rPr>
                <w:rFonts w:ascii="Arial" w:hAnsi="Arial" w:eastAsia="Arial"/>
                <w:b w:val="0"/>
                <w:color w:val="111417"/>
                <w:sz w:val="16"/>
              </w:rPr>
              <w:t>Controller, request model, compliance service, response contracts</w:t>
            </w:r>
          </w:p>
        </w:tc>
      </w:tr>
      <w:tr>
        <w:tc>
          <w:tcPr>
            <w:tcW w:type="dxa" w:w="2592"/>
            <w:tcMar>
              <w:top w:w="100" w:type="dxa"/>
              <w:start w:w="100" w:type="dxa"/>
              <w:bottom w:w="100" w:type="dxa"/>
              <w:end w:w="100" w:type="dxa"/>
            </w:tcMar>
            <w:shd w:fill="FBFCFE"/>
            <w:vAlign w:val="center"/>
          </w:tcPr>
          <w:p>
            <w:pPr>
              <w:spacing w:after="0"/>
            </w:pPr>
            <w:r/>
            <w:r>
              <w:rPr>
                <w:rFonts w:ascii="Arial" w:hAnsi="Arial" w:eastAsia="Arial"/>
                <w:b/>
                <w:color w:val="111417"/>
                <w:sz w:val="16"/>
              </w:rPr>
              <w:t>Endpoint</w:t>
            </w:r>
          </w:p>
        </w:tc>
        <w:tc>
          <w:tcPr>
            <w:tcW w:type="dxa" w:w="6336"/>
            <w:tcMar>
              <w:top w:w="100" w:type="dxa"/>
              <w:start w:w="100" w:type="dxa"/>
              <w:bottom w:w="100" w:type="dxa"/>
              <w:end w:w="100" w:type="dxa"/>
            </w:tcMar>
            <w:shd w:fill="FBFCFE"/>
            <w:vAlign w:val="center"/>
          </w:tcPr>
          <w:p>
            <w:pPr>
              <w:spacing w:after="0"/>
            </w:pPr>
            <w:r/>
            <w:r>
              <w:rPr>
                <w:rFonts w:ascii="Arial" w:hAnsi="Arial" w:eastAsia="Arial"/>
                <w:b w:val="0"/>
                <w:color w:val="111417"/>
                <w:sz w:val="16"/>
              </w:rPr>
              <w:t>POST /api/proposal/analyse</w:t>
            </w:r>
          </w:p>
        </w:tc>
      </w:tr>
      <w:tr>
        <w:tc>
          <w:tcPr>
            <w:tcW w:type="dxa" w:w="2592"/>
            <w:tcMar>
              <w:top w:w="100" w:type="dxa"/>
              <w:start w:w="100" w:type="dxa"/>
              <w:bottom w:w="100" w:type="dxa"/>
              <w:end w:w="100" w:type="dxa"/>
            </w:tcMar>
            <w:shd w:fill="FBFCFE"/>
            <w:vAlign w:val="center"/>
          </w:tcPr>
          <w:p>
            <w:pPr>
              <w:spacing w:after="0"/>
            </w:pPr>
            <w:r/>
            <w:r>
              <w:rPr>
                <w:rFonts w:ascii="Arial" w:hAnsi="Arial" w:eastAsia="Arial"/>
                <w:b/>
                <w:color w:val="111417"/>
                <w:sz w:val="16"/>
              </w:rPr>
              <w:t>Quality Evidence</w:t>
            </w:r>
          </w:p>
        </w:tc>
        <w:tc>
          <w:tcPr>
            <w:tcW w:type="dxa" w:w="6336"/>
            <w:tcMar>
              <w:top w:w="100" w:type="dxa"/>
              <w:start w:w="100" w:type="dxa"/>
              <w:bottom w:w="100" w:type="dxa"/>
              <w:end w:w="100" w:type="dxa"/>
            </w:tcMar>
            <w:shd w:fill="FBFCFE"/>
            <w:vAlign w:val="center"/>
          </w:tcPr>
          <w:p>
            <w:pPr>
              <w:spacing w:after="0"/>
            </w:pPr>
            <w:r/>
            <w:r>
              <w:rPr>
                <w:rFonts w:ascii="Arial" w:hAnsi="Arial" w:eastAsia="Arial"/>
                <w:b w:val="0"/>
                <w:color w:val="111417"/>
                <w:sz w:val="16"/>
              </w:rPr>
              <w:t>Build passed with 0 warnings/errors; 8 automated tests passed</w:t>
            </w:r>
          </w:p>
        </w:tc>
      </w:tr>
    </w:tbl>
    <w:p>
      <w:pPr>
        <w:pageBreakBefore w:val="0"/>
        <w:spacing w:after="40"/>
      </w:pPr>
    </w:p>
    <w:p>
      <w:pPr>
        <w:pageBreakBefore w:val="0"/>
      </w:pPr>
      <w:r>
        <w:br w:type="page"/>
      </w:r>
    </w:p>
    <w:p>
      <w:pPr>
        <w:pStyle w:val="Heading1"/>
        <w:pageBreakBefore w:val="0"/>
      </w:pPr>
      <w:r>
        <w:t>Table of Contents</w:t>
      </w:r>
    </w:p>
    <w:p>
      <w:pPr>
        <w:pageBreakBefore w:val="0"/>
      </w:pPr>
      <w:r>
        <w:t>1. Introduction</w:t>
      </w:r>
    </w:p>
    <w:p>
      <w:pPr>
        <w:pageBreakBefore w:val="0"/>
      </w:pPr>
      <w:r>
        <w:t>2. Development</w:t>
      </w:r>
    </w:p>
    <w:p>
      <w:pPr>
        <w:pageBreakBefore w:val="0"/>
      </w:pPr>
      <w:r>
        <w:t>2.1 System Overview</w:t>
      </w:r>
    </w:p>
    <w:p>
      <w:pPr>
        <w:pageBreakBefore w:val="0"/>
      </w:pPr>
      <w:r>
        <w:t>2.2 Model and Validation</w:t>
      </w:r>
    </w:p>
    <w:p>
      <w:pPr>
        <w:pageBreakBefore w:val="0"/>
      </w:pPr>
      <w:r>
        <w:t>2.3 Compliance Logic</w:t>
      </w:r>
    </w:p>
    <w:p>
      <w:pPr>
        <w:pageBreakBefore w:val="0"/>
      </w:pPr>
      <w:r>
        <w:t>2.4 API Response</w:t>
      </w:r>
    </w:p>
    <w:p>
      <w:pPr>
        <w:pageBreakBefore w:val="0"/>
      </w:pPr>
      <w:r>
        <w:t>2.5 Setup Instructions</w:t>
      </w:r>
    </w:p>
    <w:p>
      <w:pPr>
        <w:pageBreakBefore w:val="0"/>
      </w:pPr>
      <w:r>
        <w:t>3. Testing and QA</w:t>
      </w:r>
    </w:p>
    <w:p>
      <w:pPr>
        <w:pageBreakBefore w:val="0"/>
      </w:pPr>
      <w:r>
        <w:t>3.1 Test Plan Summary</w:t>
      </w:r>
    </w:p>
    <w:p>
      <w:pPr>
        <w:pageBreakBefore w:val="0"/>
      </w:pPr>
      <w:r>
        <w:t>3.2 Manual Test Results</w:t>
      </w:r>
    </w:p>
    <w:p>
      <w:pPr>
        <w:pageBreakBefore w:val="0"/>
      </w:pPr>
      <w:r>
        <w:t>3.3 Key Findings</w:t>
      </w:r>
    </w:p>
    <w:p>
      <w:pPr>
        <w:pageBreakBefore w:val="0"/>
      </w:pPr>
      <w:r>
        <w:t>4. Conclusion</w:t>
      </w:r>
    </w:p>
    <w:p>
      <w:pPr>
        <w:pageBreakBefore w:val="0"/>
      </w:pPr>
      <w:r>
        <w:br w:type="page"/>
      </w:r>
    </w:p>
    <w:p>
      <w:pPr>
        <w:pStyle w:val="Heading1"/>
        <w:pageBreakBefore w:val="0"/>
      </w:pPr>
      <w:r>
        <w:t>1. Introduction</w:t>
      </w:r>
    </w:p>
    <w:p>
      <w:pPr>
        <w:pageBreakBefore w:val="0"/>
      </w:pPr>
      <w:r>
        <w:t>The Project Proposal Compliance Service is a Web API that screens incoming project proposal submissions before they enter the Project Approval System blind-matching pipeline. It identifies basic data quality issues and early compliance concerns around budget, specialist resource allocation, and ethics region risk.</w:t>
      </w:r>
    </w:p>
    <w:p>
      <w:pPr>
        <w:pageBreakBefore w:val="0"/>
      </w:pPr>
      <w:r>
        <w:t>The solution includes a premium browser console for demonstration, but the core assessed service is the ASP.NET Core API. The API accepts structured proposal data, applies server-side validation, runs rule-based compliance analysis, and returns a stable JSON response for clients, testers, or future PAS workflow integration.</w:t>
      </w:r>
    </w:p>
    <w:p>
      <w:pPr>
        <w:pStyle w:val="Heading1"/>
        <w:pageBreakBefore w:val="0"/>
      </w:pPr>
      <w:r>
        <w:t>2. Development</w:t>
      </w:r>
    </w:p>
    <w:p>
      <w:pPr>
        <w:pStyle w:val="Heading2"/>
        <w:pageBreakBefore w:val="0"/>
      </w:pPr>
      <w:r>
        <w:t>2.1 System Overview</w:t>
      </w:r>
    </w:p>
    <w:p>
      <w:pPr>
        <w:pageBreakBefore w:val="0"/>
      </w:pPr>
      <w:r>
        <w:t>The system is intentionally simple and testable. The controller receives HTTP input, model validation protects the request contract, the compliance service owns rule analysis, and the response contract returns a consistent decision envelope.</w:t>
      </w:r>
    </w:p>
    <w:tbl>
      <w:tblPr>
        <w:tblW w:type="auto" w:w="0"/>
        <w:jc w:val="center"/>
        <w:tblLayout w:type="fixed"/>
        <w:tblLook w:firstColumn="1" w:firstRow="1" w:lastColumn="0" w:lastRow="0" w:noHBand="0" w:noVBand="1" w:val="04A0"/>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3331"/>
        <w:gridCol w:w="3331"/>
        <w:gridCol w:w="3331"/>
      </w:tblGrid>
      <w:tr>
        <w:tc>
          <w:tcPr>
            <w:tcW w:type="dxa" w:w="792"/>
            <w:tcMar>
              <w:top w:w="100" w:type="dxa"/>
              <w:start w:w="100" w:type="dxa"/>
              <w:bottom w:w="100" w:type="dxa"/>
              <w:end w:w="100" w:type="dxa"/>
            </w:tcMar>
            <w:shd w:fill="111417"/>
            <w:vAlign w:val="center"/>
          </w:tcPr>
          <w:p>
            <w:pPr>
              <w:spacing w:after="0"/>
            </w:pPr>
            <w:r/>
            <w:r>
              <w:rPr>
                <w:rFonts w:ascii="Arial" w:hAnsi="Arial" w:eastAsia="Arial"/>
                <w:b/>
                <w:color w:val="FFFFFF"/>
                <w:sz w:val="16"/>
              </w:rPr>
              <w:t>Step</w:t>
            </w:r>
          </w:p>
        </w:tc>
        <w:tc>
          <w:tcPr>
            <w:tcW w:type="dxa" w:w="2592"/>
            <w:tcMar>
              <w:top w:w="100" w:type="dxa"/>
              <w:start w:w="100" w:type="dxa"/>
              <w:bottom w:w="100" w:type="dxa"/>
              <w:end w:w="100" w:type="dxa"/>
            </w:tcMar>
            <w:shd w:fill="111417"/>
            <w:vAlign w:val="center"/>
          </w:tcPr>
          <w:p>
            <w:pPr>
              <w:spacing w:after="0"/>
            </w:pPr>
            <w:r/>
            <w:r>
              <w:rPr>
                <w:rFonts w:ascii="Arial" w:hAnsi="Arial" w:eastAsia="Arial"/>
                <w:b/>
                <w:color w:val="FFFFFF"/>
                <w:sz w:val="16"/>
              </w:rPr>
              <w:t>Component</w:t>
            </w:r>
          </w:p>
        </w:tc>
        <w:tc>
          <w:tcPr>
            <w:tcW w:type="dxa" w:w="6408"/>
            <w:tcMar>
              <w:top w:w="100" w:type="dxa"/>
              <w:start w:w="100" w:type="dxa"/>
              <w:bottom w:w="100" w:type="dxa"/>
              <w:end w:w="100" w:type="dxa"/>
            </w:tcMar>
            <w:shd w:fill="111417"/>
            <w:vAlign w:val="center"/>
          </w:tcPr>
          <w:p>
            <w:pPr>
              <w:spacing w:after="0"/>
            </w:pPr>
            <w:r/>
            <w:r>
              <w:rPr>
                <w:rFonts w:ascii="Arial" w:hAnsi="Arial" w:eastAsia="Arial"/>
                <w:b/>
                <w:color w:val="FFFFFF"/>
                <w:sz w:val="16"/>
              </w:rPr>
              <w:t>Responsibility</w:t>
            </w:r>
          </w:p>
        </w:tc>
      </w:tr>
      <w:tr>
        <w:tc>
          <w:tcPr>
            <w:tcW w:type="dxa" w:w="792"/>
            <w:tcMar>
              <w:top w:w="100" w:type="dxa"/>
              <w:start w:w="100" w:type="dxa"/>
              <w:bottom w:w="100" w:type="dxa"/>
              <w:end w:w="100" w:type="dxa"/>
            </w:tcMar>
            <w:shd w:fill="FBFCFE"/>
            <w:vAlign w:val="center"/>
          </w:tcPr>
          <w:p>
            <w:pPr>
              <w:spacing w:after="0"/>
            </w:pPr>
            <w:r/>
            <w:r>
              <w:rPr>
                <w:rFonts w:ascii="Arial" w:hAnsi="Arial" w:eastAsia="Arial"/>
                <w:b w:val="0"/>
                <w:color w:val="111417"/>
                <w:sz w:val="16"/>
              </w:rPr>
              <w:t>1</w:t>
            </w:r>
          </w:p>
        </w:tc>
        <w:tc>
          <w:tcPr>
            <w:tcW w:type="dxa" w:w="2592"/>
            <w:tcMar>
              <w:top w:w="100" w:type="dxa"/>
              <w:start w:w="100" w:type="dxa"/>
              <w:bottom w:w="100" w:type="dxa"/>
              <w:end w:w="100" w:type="dxa"/>
            </w:tcMar>
            <w:shd w:fill="FBFCFE"/>
            <w:vAlign w:val="center"/>
          </w:tcPr>
          <w:p>
            <w:pPr>
              <w:spacing w:after="0"/>
            </w:pPr>
            <w:r/>
            <w:r>
              <w:rPr>
                <w:rFonts w:ascii="Arial" w:hAnsi="Arial" w:eastAsia="Arial"/>
                <w:b w:val="0"/>
                <w:color w:val="111417"/>
                <w:sz w:val="16"/>
              </w:rPr>
              <w:t>Client / premium UI</w:t>
            </w:r>
          </w:p>
        </w:tc>
        <w:tc>
          <w:tcPr>
            <w:tcW w:type="dxa" w:w="6408"/>
            <w:tcMar>
              <w:top w:w="100" w:type="dxa"/>
              <w:start w:w="100" w:type="dxa"/>
              <w:bottom w:w="100" w:type="dxa"/>
              <w:end w:w="100" w:type="dxa"/>
            </w:tcMar>
            <w:shd w:fill="FBFCFE"/>
            <w:vAlign w:val="center"/>
          </w:tcPr>
          <w:p>
            <w:pPr>
              <w:spacing w:after="0"/>
            </w:pPr>
            <w:r/>
            <w:r>
              <w:rPr>
                <w:rFonts w:ascii="Arial" w:hAnsi="Arial" w:eastAsia="Arial"/>
                <w:b w:val="0"/>
                <w:color w:val="111417"/>
                <w:sz w:val="16"/>
              </w:rPr>
              <w:t>Submits proposal JSON to the API endpoint.</w:t>
            </w:r>
          </w:p>
        </w:tc>
      </w:tr>
      <w:tr>
        <w:tc>
          <w:tcPr>
            <w:tcW w:type="dxa" w:w="792"/>
            <w:tcMar>
              <w:top w:w="100" w:type="dxa"/>
              <w:start w:w="100" w:type="dxa"/>
              <w:bottom w:w="100" w:type="dxa"/>
              <w:end w:w="100" w:type="dxa"/>
            </w:tcMar>
            <w:shd w:fill="FBFCFE"/>
            <w:vAlign w:val="center"/>
          </w:tcPr>
          <w:p>
            <w:pPr>
              <w:spacing w:after="0"/>
            </w:pPr>
            <w:r/>
            <w:r>
              <w:rPr>
                <w:rFonts w:ascii="Arial" w:hAnsi="Arial" w:eastAsia="Arial"/>
                <w:b w:val="0"/>
                <w:color w:val="111417"/>
                <w:sz w:val="16"/>
              </w:rPr>
              <w:t>2</w:t>
            </w:r>
          </w:p>
        </w:tc>
        <w:tc>
          <w:tcPr>
            <w:tcW w:type="dxa" w:w="2592"/>
            <w:tcMar>
              <w:top w:w="100" w:type="dxa"/>
              <w:start w:w="100" w:type="dxa"/>
              <w:bottom w:w="100" w:type="dxa"/>
              <w:end w:w="100" w:type="dxa"/>
            </w:tcMar>
            <w:shd w:fill="FBFCFE"/>
            <w:vAlign w:val="center"/>
          </w:tcPr>
          <w:p>
            <w:pPr>
              <w:spacing w:after="0"/>
            </w:pPr>
            <w:r/>
            <w:r>
              <w:rPr>
                <w:rFonts w:ascii="Arial" w:hAnsi="Arial" w:eastAsia="Arial"/>
                <w:b w:val="0"/>
                <w:color w:val="111417"/>
                <w:sz w:val="16"/>
              </w:rPr>
              <w:t>ProposalController</w:t>
            </w:r>
          </w:p>
        </w:tc>
        <w:tc>
          <w:tcPr>
            <w:tcW w:type="dxa" w:w="6408"/>
            <w:tcMar>
              <w:top w:w="100" w:type="dxa"/>
              <w:start w:w="100" w:type="dxa"/>
              <w:bottom w:w="100" w:type="dxa"/>
              <w:end w:w="100" w:type="dxa"/>
            </w:tcMar>
            <w:shd w:fill="FBFCFE"/>
            <w:vAlign w:val="center"/>
          </w:tcPr>
          <w:p>
            <w:pPr>
              <w:spacing w:after="0"/>
            </w:pPr>
            <w:r/>
            <w:r>
              <w:rPr>
                <w:rFonts w:ascii="Arial" w:hAnsi="Arial" w:eastAsia="Arial"/>
                <w:b w:val="0"/>
                <w:color w:val="111417"/>
                <w:sz w:val="16"/>
              </w:rPr>
              <w:t>Accepts the request body and returns the response envelope.</w:t>
            </w:r>
          </w:p>
        </w:tc>
      </w:tr>
      <w:tr>
        <w:tc>
          <w:tcPr>
            <w:tcW w:type="dxa" w:w="792"/>
            <w:tcMar>
              <w:top w:w="100" w:type="dxa"/>
              <w:start w:w="100" w:type="dxa"/>
              <w:bottom w:w="100" w:type="dxa"/>
              <w:end w:w="100" w:type="dxa"/>
            </w:tcMar>
            <w:shd w:fill="FBFCFE"/>
            <w:vAlign w:val="center"/>
          </w:tcPr>
          <w:p>
            <w:pPr>
              <w:spacing w:after="0"/>
            </w:pPr>
            <w:r/>
            <w:r>
              <w:rPr>
                <w:rFonts w:ascii="Arial" w:hAnsi="Arial" w:eastAsia="Arial"/>
                <w:b w:val="0"/>
                <w:color w:val="111417"/>
                <w:sz w:val="16"/>
              </w:rPr>
              <w:t>3</w:t>
            </w:r>
          </w:p>
        </w:tc>
        <w:tc>
          <w:tcPr>
            <w:tcW w:type="dxa" w:w="2592"/>
            <w:tcMar>
              <w:top w:w="100" w:type="dxa"/>
              <w:start w:w="100" w:type="dxa"/>
              <w:bottom w:w="100" w:type="dxa"/>
              <w:end w:w="100" w:type="dxa"/>
            </w:tcMar>
            <w:shd w:fill="FBFCFE"/>
            <w:vAlign w:val="center"/>
          </w:tcPr>
          <w:p>
            <w:pPr>
              <w:spacing w:after="0"/>
            </w:pPr>
            <w:r/>
            <w:r>
              <w:rPr>
                <w:rFonts w:ascii="Arial" w:hAnsi="Arial" w:eastAsia="Arial"/>
                <w:b w:val="0"/>
                <w:color w:val="111417"/>
                <w:sz w:val="16"/>
              </w:rPr>
              <w:t>ProposalRequest model</w:t>
            </w:r>
          </w:p>
        </w:tc>
        <w:tc>
          <w:tcPr>
            <w:tcW w:type="dxa" w:w="6408"/>
            <w:tcMar>
              <w:top w:w="100" w:type="dxa"/>
              <w:start w:w="100" w:type="dxa"/>
              <w:bottom w:w="100" w:type="dxa"/>
              <w:end w:w="100" w:type="dxa"/>
            </w:tcMar>
            <w:shd w:fill="FBFCFE"/>
            <w:vAlign w:val="center"/>
          </w:tcPr>
          <w:p>
            <w:pPr>
              <w:spacing w:after="0"/>
            </w:pPr>
            <w:r/>
            <w:r>
              <w:rPr>
                <w:rFonts w:ascii="Arial" w:hAnsi="Arial" w:eastAsia="Arial"/>
                <w:b w:val="0"/>
                <w:color w:val="111417"/>
                <w:sz w:val="16"/>
              </w:rPr>
              <w:t>Applies Data Annotation validation before compliance analysis.</w:t>
            </w:r>
          </w:p>
        </w:tc>
      </w:tr>
      <w:tr>
        <w:tc>
          <w:tcPr>
            <w:tcW w:type="dxa" w:w="792"/>
            <w:tcMar>
              <w:top w:w="100" w:type="dxa"/>
              <w:start w:w="100" w:type="dxa"/>
              <w:bottom w:w="100" w:type="dxa"/>
              <w:end w:w="100" w:type="dxa"/>
            </w:tcMar>
            <w:shd w:fill="FBFCFE"/>
            <w:vAlign w:val="center"/>
          </w:tcPr>
          <w:p>
            <w:pPr>
              <w:spacing w:after="0"/>
            </w:pPr>
            <w:r/>
            <w:r>
              <w:rPr>
                <w:rFonts w:ascii="Arial" w:hAnsi="Arial" w:eastAsia="Arial"/>
                <w:b w:val="0"/>
                <w:color w:val="111417"/>
                <w:sz w:val="16"/>
              </w:rPr>
              <w:t>4</w:t>
            </w:r>
          </w:p>
        </w:tc>
        <w:tc>
          <w:tcPr>
            <w:tcW w:type="dxa" w:w="2592"/>
            <w:tcMar>
              <w:top w:w="100" w:type="dxa"/>
              <w:start w:w="100" w:type="dxa"/>
              <w:bottom w:w="100" w:type="dxa"/>
              <w:end w:w="100" w:type="dxa"/>
            </w:tcMar>
            <w:shd w:fill="FBFCFE"/>
            <w:vAlign w:val="center"/>
          </w:tcPr>
          <w:p>
            <w:pPr>
              <w:spacing w:after="0"/>
            </w:pPr>
            <w:r/>
            <w:r>
              <w:rPr>
                <w:rFonts w:ascii="Arial" w:hAnsi="Arial" w:eastAsia="Arial"/>
                <w:b w:val="0"/>
                <w:color w:val="111417"/>
                <w:sz w:val="16"/>
              </w:rPr>
              <w:t>ComplianceAnalysisService</w:t>
            </w:r>
          </w:p>
        </w:tc>
        <w:tc>
          <w:tcPr>
            <w:tcW w:type="dxa" w:w="6408"/>
            <w:tcMar>
              <w:top w:w="100" w:type="dxa"/>
              <w:start w:w="100" w:type="dxa"/>
              <w:bottom w:w="100" w:type="dxa"/>
              <w:end w:w="100" w:type="dxa"/>
            </w:tcMar>
            <w:shd w:fill="FBFCFE"/>
            <w:vAlign w:val="center"/>
          </w:tcPr>
          <w:p>
            <w:pPr>
              <w:spacing w:after="0"/>
            </w:pPr>
            <w:r/>
            <w:r>
              <w:rPr>
                <w:rFonts w:ascii="Arial" w:hAnsi="Arial" w:eastAsia="Arial"/>
                <w:b w:val="0"/>
                <w:color w:val="111417"/>
                <w:sz w:val="16"/>
              </w:rPr>
              <w:t>Runs budget, resource, and ethics rules.</w:t>
            </w:r>
          </w:p>
        </w:tc>
      </w:tr>
      <w:tr>
        <w:tc>
          <w:tcPr>
            <w:tcW w:type="dxa" w:w="792"/>
            <w:tcMar>
              <w:top w:w="100" w:type="dxa"/>
              <w:start w:w="100" w:type="dxa"/>
              <w:bottom w:w="100" w:type="dxa"/>
              <w:end w:w="100" w:type="dxa"/>
            </w:tcMar>
            <w:shd w:fill="FBFCFE"/>
            <w:vAlign w:val="center"/>
          </w:tcPr>
          <w:p>
            <w:pPr>
              <w:spacing w:after="0"/>
            </w:pPr>
            <w:r/>
            <w:r>
              <w:rPr>
                <w:rFonts w:ascii="Arial" w:hAnsi="Arial" w:eastAsia="Arial"/>
                <w:b w:val="0"/>
                <w:color w:val="111417"/>
                <w:sz w:val="16"/>
              </w:rPr>
              <w:t>5</w:t>
            </w:r>
          </w:p>
        </w:tc>
        <w:tc>
          <w:tcPr>
            <w:tcW w:type="dxa" w:w="2592"/>
            <w:tcMar>
              <w:top w:w="100" w:type="dxa"/>
              <w:start w:w="100" w:type="dxa"/>
              <w:bottom w:w="100" w:type="dxa"/>
              <w:end w:w="100" w:type="dxa"/>
            </w:tcMar>
            <w:shd w:fill="FBFCFE"/>
            <w:vAlign w:val="center"/>
          </w:tcPr>
          <w:p>
            <w:pPr>
              <w:spacing w:after="0"/>
            </w:pPr>
            <w:r/>
            <w:r>
              <w:rPr>
                <w:rFonts w:ascii="Arial" w:hAnsi="Arial" w:eastAsia="Arial"/>
                <w:b w:val="0"/>
                <w:color w:val="111417"/>
                <w:sz w:val="16"/>
              </w:rPr>
              <w:t>ProposalComplianceResponse</w:t>
            </w:r>
          </w:p>
        </w:tc>
        <w:tc>
          <w:tcPr>
            <w:tcW w:type="dxa" w:w="6408"/>
            <w:tcMar>
              <w:top w:w="100" w:type="dxa"/>
              <w:start w:w="100" w:type="dxa"/>
              <w:bottom w:w="100" w:type="dxa"/>
              <w:end w:w="100" w:type="dxa"/>
            </w:tcMar>
            <w:shd w:fill="FBFCFE"/>
            <w:vAlign w:val="center"/>
          </w:tcPr>
          <w:p>
            <w:pPr>
              <w:spacing w:after="0"/>
            </w:pPr>
            <w:r/>
            <w:r>
              <w:rPr>
                <w:rFonts w:ascii="Arial" w:hAnsi="Arial" w:eastAsia="Arial"/>
                <w:b w:val="0"/>
                <w:color w:val="111417"/>
                <w:sz w:val="16"/>
              </w:rPr>
              <w:t>Returns status, validation errors, and compliance alerts.</w:t>
            </w:r>
          </w:p>
        </w:tc>
      </w:tr>
    </w:tbl>
    <w:p>
      <w:pPr>
        <w:pageBreakBefore w:val="0"/>
        <w:spacing w:after="40"/>
      </w:pPr>
    </w:p>
    <w:p>
      <w:pPr>
        <w:pStyle w:val="Heading2"/>
        <w:pageBreakBefore w:val="0"/>
      </w:pPr>
      <w:r>
        <w:t>2.2 Model and Validation</w:t>
      </w:r>
    </w:p>
    <w:p>
      <w:pPr>
        <w:pageBreakBefore w:val="0"/>
      </w:pPr>
      <w:r>
        <w:t>The incoming request is represented by ProposalRequest. Data Annotations are used so invalid submissions are rejected before compliance analysis. Two key examples are Range on Quantity and Range on EstimatedBudgetUSD, which ensure both values are greater than zero.</w:t>
      </w:r>
    </w:p>
    <w:p>
      <w:pPr>
        <w:pStyle w:val="CodeBlock"/>
        <w:spacing w:before="40" w:after="140"/>
        <w:pageBreakBefore w:val="0"/>
        <w:shd w:fill="F6F8FB"/>
      </w:pPr>
      <w:r>
        <w:rPr>
          <w:rFonts w:ascii="Consolas" w:hAnsi="Consolas" w:eastAsia="Consolas"/>
          <w:sz w:val="15"/>
        </w:rPr>
        <w:t>public sealed class ProposalRequest</w:t>
      </w:r>
      <w:r>
        <w:br/>
      </w:r>
      <w:r>
        <w:rPr>
          <w:rFonts w:ascii="Consolas" w:hAnsi="Consolas" w:eastAsia="Consolas"/>
          <w:sz w:val="15"/>
        </w:rPr>
        <w:t>{</w:t>
      </w:r>
      <w:r>
        <w:br/>
      </w:r>
      <w:r>
        <w:rPr>
          <w:rFonts w:ascii="Consolas" w:hAnsi="Consolas" w:eastAsia="Consolas"/>
          <w:sz w:val="15"/>
        </w:rPr>
        <w:t xml:space="preserve">    [Required(ErrorMessage = "Student name is required.")]</w:t>
      </w:r>
      <w:r>
        <w:br/>
      </w:r>
      <w:r>
        <w:rPr>
          <w:rFonts w:ascii="Consolas" w:hAnsi="Consolas" w:eastAsia="Consolas"/>
          <w:sz w:val="15"/>
        </w:rPr>
        <w:t xml:space="preserve">    [StringLength(120, MinimumLength = 2)]</w:t>
      </w:r>
      <w:r>
        <w:br/>
      </w:r>
      <w:r>
        <w:rPr>
          <w:rFonts w:ascii="Consolas" w:hAnsi="Consolas" w:eastAsia="Consolas"/>
          <w:sz w:val="15"/>
        </w:rPr>
        <w:t xml:space="preserve">    public string StudentName { get; init; } = string.Empty;</w:t>
      </w:r>
      <w:r>
        <w:br/>
      </w:r>
      <w:r>
        <w:rPr>
          <w:rFonts w:ascii="Consolas" w:hAnsi="Consolas" w:eastAsia="Consolas"/>
          <w:sz w:val="15"/>
        </w:rPr>
      </w:r>
      <w:r>
        <w:br/>
      </w:r>
      <w:r>
        <w:rPr>
          <w:rFonts w:ascii="Consolas" w:hAnsi="Consolas" w:eastAsia="Consolas"/>
          <w:sz w:val="15"/>
        </w:rPr>
        <w:t xml:space="preserve">    [Range(1, 100, ErrorMessage = "Quantity must be greater than 0 and no more than 100.")]</w:t>
      </w:r>
      <w:r>
        <w:br/>
      </w:r>
      <w:r>
        <w:rPr>
          <w:rFonts w:ascii="Consolas" w:hAnsi="Consolas" w:eastAsia="Consolas"/>
          <w:sz w:val="15"/>
        </w:rPr>
        <w:t xml:space="preserve">    public int Quantity { get; init; }</w:t>
      </w:r>
      <w:r>
        <w:br/>
      </w:r>
      <w:r>
        <w:rPr>
          <w:rFonts w:ascii="Consolas" w:hAnsi="Consolas" w:eastAsia="Consolas"/>
          <w:sz w:val="15"/>
        </w:rPr>
      </w:r>
      <w:r>
        <w:br/>
      </w:r>
      <w:r>
        <w:rPr>
          <w:rFonts w:ascii="Consolas" w:hAnsi="Consolas" w:eastAsia="Consolas"/>
          <w:sz w:val="15"/>
        </w:rPr>
        <w:t xml:space="preserve">    [Range(typeof(decimal), "0.01", "1000000", ErrorMessage = "Estimated budget must be greater than 0.")]</w:t>
      </w:r>
      <w:r>
        <w:br/>
      </w:r>
      <w:r>
        <w:rPr>
          <w:rFonts w:ascii="Consolas" w:hAnsi="Consolas" w:eastAsia="Consolas"/>
          <w:sz w:val="15"/>
        </w:rPr>
        <w:t xml:space="preserve">    public decimal EstimatedBudgetUSD { get; init; }</w:t>
      </w:r>
      <w:r>
        <w:br/>
      </w:r>
      <w:r>
        <w:rPr>
          <w:rFonts w:ascii="Consolas" w:hAnsi="Consolas" w:eastAsia="Consolas"/>
          <w:sz w:val="15"/>
        </w:rPr>
        <w:t>}</w:t>
      </w:r>
      <w:r>
        <w:br/>
      </w:r>
    </w:p>
    <w:p>
      <w:pPr>
        <w:pStyle w:val="Heading2"/>
        <w:pageBreakBefore w:val="0"/>
      </w:pPr>
      <w:r>
        <w:t>2.3 Compliance Logic</w:t>
      </w:r>
    </w:p>
    <w:p>
      <w:pPr>
        <w:pageBreakBefore w:val="0"/>
      </w:pPr>
      <w:r>
        <w:t>The compliance rules are implemented in ComplianceAnalysisService rather than inside the controller. This keeps the controller thin and makes the rules easy to test. The three rules are: high budget warning above $5,000, high resource allocation alert for Advanced GPU Cluster quantity greater than 3, and restricted ethics region alert for Bermuda.</w:t>
      </w:r>
    </w:p>
    <w:p>
      <w:pPr>
        <w:pStyle w:val="CodeBlock"/>
        <w:spacing w:before="40" w:after="140"/>
        <w:pageBreakBefore w:val="0"/>
        <w:shd w:fill="F6F8FB"/>
      </w:pPr>
      <w:r>
        <w:rPr>
          <w:rFonts w:ascii="Consolas" w:hAnsi="Consolas" w:eastAsia="Consolas"/>
          <w:sz w:val="15"/>
        </w:rPr>
        <w:t>if (proposal.EstimatedBudgetUSD &gt; 5000m)</w:t>
      </w:r>
      <w:r>
        <w:br/>
      </w:r>
      <w:r>
        <w:rPr>
          <w:rFonts w:ascii="Consolas" w:hAnsi="Consolas" w:eastAsia="Consolas"/>
          <w:sz w:val="15"/>
        </w:rPr>
        <w:t>{</w:t>
      </w:r>
      <w:r>
        <w:br/>
      </w:r>
      <w:r>
        <w:rPr>
          <w:rFonts w:ascii="Consolas" w:hAnsi="Consolas" w:eastAsia="Consolas"/>
          <w:sz w:val="15"/>
        </w:rPr>
        <w:t xml:space="preserve">    alerts.Add(new ComplianceAlert(</w:t>
      </w:r>
      <w:r>
        <w:br/>
      </w:r>
      <w:r>
        <w:rPr>
          <w:rFonts w:ascii="Consolas" w:hAnsi="Consolas" w:eastAsia="Consolas"/>
          <w:sz w:val="15"/>
        </w:rPr>
        <w:t xml:space="preserve">        RuleCode: "BUDGET-001",</w:t>
      </w:r>
      <w:r>
        <w:br/>
      </w:r>
      <w:r>
        <w:rPr>
          <w:rFonts w:ascii="Consolas" w:hAnsi="Consolas" w:eastAsia="Consolas"/>
          <w:sz w:val="15"/>
        </w:rPr>
        <w:t xml:space="preserve">        Severity: ComplianceSeverity.Low,</w:t>
      </w:r>
      <w:r>
        <w:br/>
      </w:r>
      <w:r>
        <w:rPr>
          <w:rFonts w:ascii="Consolas" w:hAnsi="Consolas" w:eastAsia="Consolas"/>
          <w:sz w:val="15"/>
        </w:rPr>
        <w:t xml:space="preserve">        Message: "High funding limit detected. Requires manual academic coordinator review."));</w:t>
      </w:r>
      <w:r>
        <w:br/>
      </w:r>
      <w:r>
        <w:rPr>
          <w:rFonts w:ascii="Consolas" w:hAnsi="Consolas" w:eastAsia="Consolas"/>
          <w:sz w:val="15"/>
        </w:rPr>
        <w:t>}</w:t>
      </w:r>
      <w:r>
        <w:br/>
      </w:r>
    </w:p>
    <w:p>
      <w:pPr>
        <w:pStyle w:val="Heading2"/>
        <w:pageBreakBefore w:val="0"/>
      </w:pPr>
      <w:r>
        <w:t>2.4 API Response</w:t>
      </w:r>
    </w:p>
    <w:p>
      <w:pPr>
        <w:pageBreakBefore w:val="0"/>
      </w:pPr>
      <w:r>
        <w:t>Endpoint: POST /api/proposal/analyse. The response always includes complianceStatus, validationErrors, and complianceAlerts. This makes it predictable for both the premium UI and any automated client.</w:t>
      </w:r>
    </w:p>
    <w:p>
      <w:pPr>
        <w:pStyle w:val="CodeBlock"/>
        <w:spacing w:before="40" w:after="140"/>
        <w:pageBreakBefore w:val="0"/>
        <w:shd w:fill="F6F8FB"/>
      </w:pPr>
      <w:r>
        <w:rPr>
          <w:rFonts w:ascii="Consolas" w:hAnsi="Consolas" w:eastAsia="Consolas"/>
          <w:sz w:val="15"/>
        </w:rPr>
        <w:t>{</w:t>
      </w:r>
      <w:r>
        <w:br/>
      </w:r>
      <w:r>
        <w:rPr>
          <w:rFonts w:ascii="Consolas" w:hAnsi="Consolas" w:eastAsia="Consolas"/>
          <w:sz w:val="15"/>
        </w:rPr>
        <w:t xml:space="preserve">  "complianceStatus": "ReviewRequired",</w:t>
      </w:r>
      <w:r>
        <w:br/>
      </w:r>
      <w:r>
        <w:rPr>
          <w:rFonts w:ascii="Consolas" w:hAnsi="Consolas" w:eastAsia="Consolas"/>
          <w:sz w:val="15"/>
        </w:rPr>
        <w:t xml:space="preserve">  "validationErrors": [],</w:t>
      </w:r>
      <w:r>
        <w:br/>
      </w:r>
      <w:r>
        <w:rPr>
          <w:rFonts w:ascii="Consolas" w:hAnsi="Consolas" w:eastAsia="Consolas"/>
          <w:sz w:val="15"/>
        </w:rPr>
        <w:t xml:space="preserve">  "complianceAlerts": [</w:t>
      </w:r>
      <w:r>
        <w:br/>
      </w:r>
      <w:r>
        <w:rPr>
          <w:rFonts w:ascii="Consolas" w:hAnsi="Consolas" w:eastAsia="Consolas"/>
          <w:sz w:val="15"/>
        </w:rPr>
        <w:t xml:space="preserve">    {</w:t>
      </w:r>
      <w:r>
        <w:br/>
      </w:r>
      <w:r>
        <w:rPr>
          <w:rFonts w:ascii="Consolas" w:hAnsi="Consolas" w:eastAsia="Consolas"/>
          <w:sz w:val="15"/>
        </w:rPr>
        <w:t xml:space="preserve">      "ruleCode": "RESOURCE-001",</w:t>
      </w:r>
      <w:r>
        <w:br/>
      </w:r>
      <w:r>
        <w:rPr>
          <w:rFonts w:ascii="Consolas" w:hAnsi="Consolas" w:eastAsia="Consolas"/>
          <w:sz w:val="15"/>
        </w:rPr>
        <w:t xml:space="preserve">      "severity": "High",</w:t>
      </w:r>
      <w:r>
        <w:br/>
      </w:r>
      <w:r>
        <w:rPr>
          <w:rFonts w:ascii="Consolas" w:hAnsi="Consolas" w:eastAsia="Consolas"/>
          <w:sz w:val="15"/>
        </w:rPr>
        <w:t xml:space="preserve">      "message": "Potential resource monopolization alert for Advanced GPU Cluster."</w:t>
      </w:r>
      <w:r>
        <w:br/>
      </w:r>
      <w:r>
        <w:rPr>
          <w:rFonts w:ascii="Consolas" w:hAnsi="Consolas" w:eastAsia="Consolas"/>
          <w:sz w:val="15"/>
        </w:rPr>
        <w:t xml:space="preserve">    }</w:t>
      </w:r>
      <w:r>
        <w:br/>
      </w:r>
      <w:r>
        <w:rPr>
          <w:rFonts w:ascii="Consolas" w:hAnsi="Consolas" w:eastAsia="Consolas"/>
          <w:sz w:val="15"/>
        </w:rPr>
        <w:t xml:space="preserve">  ]</w:t>
      </w:r>
      <w:r>
        <w:br/>
      </w:r>
      <w:r>
        <w:rPr>
          <w:rFonts w:ascii="Consolas" w:hAnsi="Consolas" w:eastAsia="Consolas"/>
          <w:sz w:val="15"/>
        </w:rPr>
        <w:t>}</w:t>
      </w:r>
      <w:r>
        <w:br/>
      </w:r>
    </w:p>
    <w:p>
      <w:pPr>
        <w:pStyle w:val="Heading2"/>
        <w:pageBreakBefore w:val="0"/>
      </w:pPr>
      <w:r>
        <w:t>2.5 Setup Instructions</w:t>
      </w:r>
    </w:p>
    <w:p>
      <w:pPr>
        <w:pStyle w:val="CodeBlock"/>
        <w:spacing w:before="40" w:after="140"/>
        <w:pageBreakBefore w:val="0"/>
        <w:shd w:fill="F6F8FB"/>
      </w:pPr>
      <w:r>
        <w:rPr>
          <w:rFonts w:ascii="Consolas" w:hAnsi="Consolas" w:eastAsia="Consolas"/>
          <w:sz w:val="15"/>
        </w:rPr>
        <w:t>cd /path/to/submission</w:t>
      </w:r>
      <w:r>
        <w:br/>
      </w:r>
      <w:r>
        <w:rPr>
          <w:rFonts w:ascii="Consolas" w:hAnsi="Consolas" w:eastAsia="Consolas"/>
          <w:sz w:val="15"/>
        </w:rPr>
        <w:t>dotnet restore ProposalCompliance.sln</w:t>
      </w:r>
      <w:r>
        <w:br/>
      </w:r>
      <w:r>
        <w:rPr>
          <w:rFonts w:ascii="Consolas" w:hAnsi="Consolas" w:eastAsia="Consolas"/>
          <w:sz w:val="15"/>
        </w:rPr>
        <w:t>dotnet build ProposalCompliance.sln --no-restore</w:t>
      </w:r>
      <w:r>
        <w:br/>
      </w:r>
      <w:r>
        <w:rPr>
          <w:rFonts w:ascii="Consolas" w:hAnsi="Consolas" w:eastAsia="Consolas"/>
          <w:sz w:val="15"/>
        </w:rPr>
        <w:t>dotnet test ProposalCompliance.sln --no-build</w:t>
      </w:r>
      <w:r>
        <w:br/>
      </w:r>
      <w:r>
        <w:rPr>
          <w:rFonts w:ascii="Consolas" w:hAnsi="Consolas" w:eastAsia="Consolas"/>
          <w:sz w:val="15"/>
        </w:rPr>
        <w:t>dotnet run --project ProposalCompliance.Api</w:t>
      </w:r>
      <w:r>
        <w:br/>
      </w:r>
    </w:p>
    <w:p>
      <w:pPr>
        <w:pageBreakBefore w:val="0"/>
      </w:pPr>
      <w:r>
        <w:t>After running the API project, open the local URL shown in the terminal. The web console is served at the root path, and API requests are submitted to /api/proposal/analyse.</w:t>
      </w:r>
    </w:p>
    <w:p>
      <w:pPr>
        <w:pStyle w:val="Heading1"/>
        <w:pageBreakBefore w:val="0"/>
      </w:pPr>
      <w:r>
        <w:t>3. Testing and QA</w:t>
      </w:r>
    </w:p>
    <w:p>
      <w:pPr>
        <w:pStyle w:val="Heading2"/>
        <w:pageBreakBefore w:val="0"/>
      </w:pPr>
      <w:r>
        <w:t>3.1 Test Plan Summary</w:t>
      </w:r>
    </w:p>
    <w:p>
      <w:pPr>
        <w:pageBreakBefore w:val="0"/>
      </w:pPr>
      <w:r>
        <w:t>Testing focused on the service contract, model validation behavior, individual compliance rules, combined rule behavior, and API response shape. Automated tests use xUnit and Microsoft.AspNetCore.Mvc.Testing. Manual test design uses equivalence partitioning for valid/invalid ranges, boundary value analysis around the $5,000 threshold and quantity limit, and decision-table thinking for combined alerts.</w:t>
      </w:r>
    </w:p>
    <w:p>
      <w:pPr>
        <w:pStyle w:val="Heading2"/>
        <w:pageBreakBefore w:val="0"/>
      </w:pPr>
      <w:r>
        <w:t>3.2 Manual Test Results</w:t>
      </w:r>
    </w:p>
    <w:tbl>
      <w:tblPr>
        <w:tblW w:type="auto" w:w="0"/>
        <w:jc w:val="center"/>
        <w:tblLayout w:type="fixed"/>
        <w:tblLook w:firstColumn="1" w:firstRow="1" w:lastColumn="0" w:lastRow="0" w:noHBand="0" w:noVBand="1" w:val="04A0"/>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1999"/>
        <w:gridCol w:w="1999"/>
        <w:gridCol w:w="1999"/>
        <w:gridCol w:w="1999"/>
        <w:gridCol w:w="1999"/>
      </w:tblGrid>
      <w:tr>
        <w:tc>
          <w:tcPr>
            <w:tcW w:type="dxa" w:w="792"/>
            <w:tcMar>
              <w:top w:w="100" w:type="dxa"/>
              <w:start w:w="100" w:type="dxa"/>
              <w:bottom w:w="100" w:type="dxa"/>
              <w:end w:w="100" w:type="dxa"/>
            </w:tcMar>
            <w:shd w:fill="111417"/>
            <w:vAlign w:val="center"/>
          </w:tcPr>
          <w:p>
            <w:pPr>
              <w:spacing w:after="0"/>
            </w:pPr>
            <w:r/>
            <w:r>
              <w:rPr>
                <w:rFonts w:ascii="Arial" w:hAnsi="Arial" w:eastAsia="Arial"/>
                <w:b/>
                <w:color w:val="FFFFFF"/>
                <w:sz w:val="16"/>
              </w:rPr>
              <w:t>ID</w:t>
            </w:r>
          </w:p>
        </w:tc>
        <w:tc>
          <w:tcPr>
            <w:tcW w:type="dxa" w:w="1944"/>
            <w:tcMar>
              <w:top w:w="100" w:type="dxa"/>
              <w:start w:w="100" w:type="dxa"/>
              <w:bottom w:w="100" w:type="dxa"/>
              <w:end w:w="100" w:type="dxa"/>
            </w:tcMar>
            <w:shd w:fill="111417"/>
            <w:vAlign w:val="center"/>
          </w:tcPr>
          <w:p>
            <w:pPr>
              <w:spacing w:after="0"/>
            </w:pPr>
            <w:r/>
            <w:r>
              <w:rPr>
                <w:rFonts w:ascii="Arial" w:hAnsi="Arial" w:eastAsia="Arial"/>
                <w:b/>
                <w:color w:val="FFFFFF"/>
                <w:sz w:val="16"/>
              </w:rPr>
              <w:t>Scenario</w:t>
            </w:r>
          </w:p>
        </w:tc>
        <w:tc>
          <w:tcPr>
            <w:tcW w:type="dxa" w:w="2880"/>
            <w:tcMar>
              <w:top w:w="100" w:type="dxa"/>
              <w:start w:w="100" w:type="dxa"/>
              <w:bottom w:w="100" w:type="dxa"/>
              <w:end w:w="100" w:type="dxa"/>
            </w:tcMar>
            <w:shd w:fill="111417"/>
            <w:vAlign w:val="center"/>
          </w:tcPr>
          <w:p>
            <w:pPr>
              <w:spacing w:after="0"/>
            </w:pPr>
            <w:r/>
            <w:r>
              <w:rPr>
                <w:rFonts w:ascii="Arial" w:hAnsi="Arial" w:eastAsia="Arial"/>
                <w:b/>
                <w:color w:val="FFFFFF"/>
                <w:sz w:val="16"/>
              </w:rPr>
              <w:t>Input Focus</w:t>
            </w:r>
          </w:p>
        </w:tc>
        <w:tc>
          <w:tcPr>
            <w:tcW w:type="dxa" w:w="2952"/>
            <w:tcMar>
              <w:top w:w="100" w:type="dxa"/>
              <w:start w:w="100" w:type="dxa"/>
              <w:bottom w:w="100" w:type="dxa"/>
              <w:end w:w="100" w:type="dxa"/>
            </w:tcMar>
            <w:shd w:fill="111417"/>
            <w:vAlign w:val="center"/>
          </w:tcPr>
          <w:p>
            <w:pPr>
              <w:spacing w:after="0"/>
            </w:pPr>
            <w:r/>
            <w:r>
              <w:rPr>
                <w:rFonts w:ascii="Arial" w:hAnsi="Arial" w:eastAsia="Arial"/>
                <w:b/>
                <w:color w:val="FFFFFF"/>
                <w:sz w:val="16"/>
              </w:rPr>
              <w:t>Expected Result</w:t>
            </w:r>
          </w:p>
        </w:tc>
        <w:tc>
          <w:tcPr>
            <w:tcW w:type="dxa" w:w="936"/>
            <w:tcMar>
              <w:top w:w="100" w:type="dxa"/>
              <w:start w:w="100" w:type="dxa"/>
              <w:bottom w:w="100" w:type="dxa"/>
              <w:end w:w="100" w:type="dxa"/>
            </w:tcMar>
            <w:shd w:fill="111417"/>
            <w:vAlign w:val="center"/>
          </w:tcPr>
          <w:p>
            <w:pPr>
              <w:spacing w:after="0"/>
            </w:pPr>
            <w:r/>
            <w:r>
              <w:rPr>
                <w:rFonts w:ascii="Arial" w:hAnsi="Arial" w:eastAsia="Arial"/>
                <w:b/>
                <w:color w:val="FFFFFF"/>
                <w:sz w:val="16"/>
              </w:rPr>
              <w:t>Status</w:t>
            </w:r>
          </w:p>
        </w:tc>
      </w:tr>
      <w:tr>
        <w:tc>
          <w:tcPr>
            <w:tcW w:type="dxa" w:w="792"/>
            <w:tcMar>
              <w:top w:w="100" w:type="dxa"/>
              <w:start w:w="100" w:type="dxa"/>
              <w:bottom w:w="100" w:type="dxa"/>
              <w:end w:w="100" w:type="dxa"/>
            </w:tcMar>
            <w:shd w:fill="FBFCFE"/>
            <w:vAlign w:val="center"/>
          </w:tcPr>
          <w:p>
            <w:pPr>
              <w:spacing w:after="0"/>
            </w:pPr>
            <w:r/>
            <w:r>
              <w:rPr>
                <w:rFonts w:ascii="Arial" w:hAnsi="Arial" w:eastAsia="Arial"/>
                <w:b w:val="0"/>
                <w:color w:val="111417"/>
                <w:sz w:val="16"/>
              </w:rPr>
              <w:t>TC01</w:t>
            </w:r>
          </w:p>
        </w:tc>
        <w:tc>
          <w:tcPr>
            <w:tcW w:type="dxa" w:w="1944"/>
            <w:tcMar>
              <w:top w:w="100" w:type="dxa"/>
              <w:start w:w="100" w:type="dxa"/>
              <w:bottom w:w="100" w:type="dxa"/>
              <w:end w:w="100" w:type="dxa"/>
            </w:tcMar>
            <w:shd w:fill="FBFCFE"/>
            <w:vAlign w:val="center"/>
          </w:tcPr>
          <w:p>
            <w:pPr>
              <w:spacing w:after="0"/>
            </w:pPr>
            <w:r/>
            <w:r>
              <w:rPr>
                <w:rFonts w:ascii="Arial" w:hAnsi="Arial" w:eastAsia="Arial"/>
                <w:b w:val="0"/>
                <w:color w:val="111417"/>
                <w:sz w:val="16"/>
              </w:rPr>
              <w:t>Low-risk valid proposal</w:t>
            </w:r>
          </w:p>
        </w:tc>
        <w:tc>
          <w:tcPr>
            <w:tcW w:type="dxa" w:w="2880"/>
            <w:tcMar>
              <w:top w:w="100" w:type="dxa"/>
              <w:start w:w="100" w:type="dxa"/>
              <w:bottom w:w="100" w:type="dxa"/>
              <w:end w:w="100" w:type="dxa"/>
            </w:tcMar>
            <w:shd w:fill="FBFCFE"/>
            <w:vAlign w:val="center"/>
          </w:tcPr>
          <w:p>
            <w:pPr>
              <w:spacing w:after="0"/>
            </w:pPr>
            <w:r/>
            <w:r>
              <w:rPr>
                <w:rFonts w:ascii="Arial" w:hAnsi="Arial" w:eastAsia="Arial"/>
                <w:b w:val="0"/>
                <w:color w:val="111417"/>
                <w:sz w:val="16"/>
              </w:rPr>
              <w:t>Quantity 1, budget 1500, Sri Lanka</w:t>
            </w:r>
          </w:p>
        </w:tc>
        <w:tc>
          <w:tcPr>
            <w:tcW w:type="dxa" w:w="2952"/>
            <w:tcMar>
              <w:top w:w="100" w:type="dxa"/>
              <w:start w:w="100" w:type="dxa"/>
              <w:bottom w:w="100" w:type="dxa"/>
              <w:end w:w="100" w:type="dxa"/>
            </w:tcMar>
            <w:shd w:fill="FBFCFE"/>
            <w:vAlign w:val="center"/>
          </w:tcPr>
          <w:p>
            <w:pPr>
              <w:spacing w:after="0"/>
            </w:pPr>
            <w:r/>
            <w:r>
              <w:rPr>
                <w:rFonts w:ascii="Arial" w:hAnsi="Arial" w:eastAsia="Arial"/>
                <w:b w:val="0"/>
                <w:color w:val="111417"/>
                <w:sz w:val="16"/>
              </w:rPr>
              <w:t>Approved; no alerts</w:t>
            </w:r>
          </w:p>
        </w:tc>
        <w:tc>
          <w:tcPr>
            <w:tcW w:type="dxa" w:w="936"/>
            <w:tcMar>
              <w:top w:w="100" w:type="dxa"/>
              <w:start w:w="100" w:type="dxa"/>
              <w:bottom w:w="100" w:type="dxa"/>
              <w:end w:w="100" w:type="dxa"/>
            </w:tcMar>
            <w:shd w:fill="FBFCFE"/>
            <w:vAlign w:val="center"/>
          </w:tcPr>
          <w:p>
            <w:pPr>
              <w:spacing w:after="0"/>
            </w:pPr>
            <w:r/>
            <w:r>
              <w:rPr>
                <w:rFonts w:ascii="Arial" w:hAnsi="Arial" w:eastAsia="Arial"/>
                <w:b w:val="0"/>
                <w:color w:val="111417"/>
                <w:sz w:val="16"/>
              </w:rPr>
              <w:t>Pass</w:t>
            </w:r>
          </w:p>
        </w:tc>
      </w:tr>
      <w:tr>
        <w:tc>
          <w:tcPr>
            <w:tcW w:type="dxa" w:w="792"/>
            <w:tcMar>
              <w:top w:w="100" w:type="dxa"/>
              <w:start w:w="100" w:type="dxa"/>
              <w:bottom w:w="100" w:type="dxa"/>
              <w:end w:w="100" w:type="dxa"/>
            </w:tcMar>
            <w:shd w:fill="FBFCFE"/>
            <w:vAlign w:val="center"/>
          </w:tcPr>
          <w:p>
            <w:pPr>
              <w:spacing w:after="0"/>
            </w:pPr>
            <w:r/>
            <w:r>
              <w:rPr>
                <w:rFonts w:ascii="Arial" w:hAnsi="Arial" w:eastAsia="Arial"/>
                <w:b w:val="0"/>
                <w:color w:val="111417"/>
                <w:sz w:val="16"/>
              </w:rPr>
              <w:t>TC02</w:t>
            </w:r>
          </w:p>
        </w:tc>
        <w:tc>
          <w:tcPr>
            <w:tcW w:type="dxa" w:w="1944"/>
            <w:tcMar>
              <w:top w:w="100" w:type="dxa"/>
              <w:start w:w="100" w:type="dxa"/>
              <w:bottom w:w="100" w:type="dxa"/>
              <w:end w:w="100" w:type="dxa"/>
            </w:tcMar>
            <w:shd w:fill="FBFCFE"/>
            <w:vAlign w:val="center"/>
          </w:tcPr>
          <w:p>
            <w:pPr>
              <w:spacing w:after="0"/>
            </w:pPr>
            <w:r/>
            <w:r>
              <w:rPr>
                <w:rFonts w:ascii="Arial" w:hAnsi="Arial" w:eastAsia="Arial"/>
                <w:b w:val="0"/>
                <w:color w:val="111417"/>
                <w:sz w:val="16"/>
              </w:rPr>
              <w:t>Validation failure</w:t>
            </w:r>
          </w:p>
        </w:tc>
        <w:tc>
          <w:tcPr>
            <w:tcW w:type="dxa" w:w="2880"/>
            <w:tcMar>
              <w:top w:w="100" w:type="dxa"/>
              <w:start w:w="100" w:type="dxa"/>
              <w:bottom w:w="100" w:type="dxa"/>
              <w:end w:w="100" w:type="dxa"/>
            </w:tcMar>
            <w:shd w:fill="FBFCFE"/>
            <w:vAlign w:val="center"/>
          </w:tcPr>
          <w:p>
            <w:pPr>
              <w:spacing w:after="0"/>
            </w:pPr>
            <w:r/>
            <w:r>
              <w:rPr>
                <w:rFonts w:ascii="Arial" w:hAnsi="Arial" w:eastAsia="Arial"/>
                <w:b w:val="0"/>
                <w:color w:val="111417"/>
                <w:sz w:val="16"/>
              </w:rPr>
              <w:t>Quantity 0 and budget 0</w:t>
            </w:r>
          </w:p>
        </w:tc>
        <w:tc>
          <w:tcPr>
            <w:tcW w:type="dxa" w:w="2952"/>
            <w:tcMar>
              <w:top w:w="100" w:type="dxa"/>
              <w:start w:w="100" w:type="dxa"/>
              <w:bottom w:w="100" w:type="dxa"/>
              <w:end w:w="100" w:type="dxa"/>
            </w:tcMar>
            <w:shd w:fill="FBFCFE"/>
            <w:vAlign w:val="center"/>
          </w:tcPr>
          <w:p>
            <w:pPr>
              <w:spacing w:after="0"/>
            </w:pPr>
            <w:r/>
            <w:r>
              <w:rPr>
                <w:rFonts w:ascii="Arial" w:hAnsi="Arial" w:eastAsia="Arial"/>
                <w:b w:val="0"/>
                <w:color w:val="111417"/>
                <w:sz w:val="16"/>
              </w:rPr>
              <w:t>ValidationFailed; field errors</w:t>
            </w:r>
          </w:p>
        </w:tc>
        <w:tc>
          <w:tcPr>
            <w:tcW w:type="dxa" w:w="936"/>
            <w:tcMar>
              <w:top w:w="100" w:type="dxa"/>
              <w:start w:w="100" w:type="dxa"/>
              <w:bottom w:w="100" w:type="dxa"/>
              <w:end w:w="100" w:type="dxa"/>
            </w:tcMar>
            <w:shd w:fill="FBFCFE"/>
            <w:vAlign w:val="center"/>
          </w:tcPr>
          <w:p>
            <w:pPr>
              <w:spacing w:after="0"/>
            </w:pPr>
            <w:r/>
            <w:r>
              <w:rPr>
                <w:rFonts w:ascii="Arial" w:hAnsi="Arial" w:eastAsia="Arial"/>
                <w:b w:val="0"/>
                <w:color w:val="111417"/>
                <w:sz w:val="16"/>
              </w:rPr>
              <w:t>Pass</w:t>
            </w:r>
          </w:p>
        </w:tc>
      </w:tr>
      <w:tr>
        <w:tc>
          <w:tcPr>
            <w:tcW w:type="dxa" w:w="792"/>
            <w:tcMar>
              <w:top w:w="100" w:type="dxa"/>
              <w:start w:w="100" w:type="dxa"/>
              <w:bottom w:w="100" w:type="dxa"/>
              <w:end w:w="100" w:type="dxa"/>
            </w:tcMar>
            <w:shd w:fill="FBFCFE"/>
            <w:vAlign w:val="center"/>
          </w:tcPr>
          <w:p>
            <w:pPr>
              <w:spacing w:after="0"/>
            </w:pPr>
            <w:r/>
            <w:r>
              <w:rPr>
                <w:rFonts w:ascii="Arial" w:hAnsi="Arial" w:eastAsia="Arial"/>
                <w:b w:val="0"/>
                <w:color w:val="111417"/>
                <w:sz w:val="16"/>
              </w:rPr>
              <w:t>TC03</w:t>
            </w:r>
          </w:p>
        </w:tc>
        <w:tc>
          <w:tcPr>
            <w:tcW w:type="dxa" w:w="1944"/>
            <w:tcMar>
              <w:top w:w="100" w:type="dxa"/>
              <w:start w:w="100" w:type="dxa"/>
              <w:bottom w:w="100" w:type="dxa"/>
              <w:end w:w="100" w:type="dxa"/>
            </w:tcMar>
            <w:shd w:fill="FBFCFE"/>
            <w:vAlign w:val="center"/>
          </w:tcPr>
          <w:p>
            <w:pPr>
              <w:spacing w:after="0"/>
            </w:pPr>
            <w:r/>
            <w:r>
              <w:rPr>
                <w:rFonts w:ascii="Arial" w:hAnsi="Arial" w:eastAsia="Arial"/>
                <w:b w:val="0"/>
                <w:color w:val="111417"/>
                <w:sz w:val="16"/>
              </w:rPr>
              <w:t>Budget rule</w:t>
            </w:r>
          </w:p>
        </w:tc>
        <w:tc>
          <w:tcPr>
            <w:tcW w:type="dxa" w:w="2880"/>
            <w:tcMar>
              <w:top w:w="100" w:type="dxa"/>
              <w:start w:w="100" w:type="dxa"/>
              <w:bottom w:w="100" w:type="dxa"/>
              <w:end w:w="100" w:type="dxa"/>
            </w:tcMar>
            <w:shd w:fill="FBFCFE"/>
            <w:vAlign w:val="center"/>
          </w:tcPr>
          <w:p>
            <w:pPr>
              <w:spacing w:after="0"/>
            </w:pPr>
            <w:r/>
            <w:r>
              <w:rPr>
                <w:rFonts w:ascii="Arial" w:hAnsi="Arial" w:eastAsia="Arial"/>
                <w:b w:val="0"/>
                <w:color w:val="111417"/>
                <w:sz w:val="16"/>
              </w:rPr>
              <w:t>Budget 5000.01</w:t>
            </w:r>
          </w:p>
        </w:tc>
        <w:tc>
          <w:tcPr>
            <w:tcW w:type="dxa" w:w="2952"/>
            <w:tcMar>
              <w:top w:w="100" w:type="dxa"/>
              <w:start w:w="100" w:type="dxa"/>
              <w:bottom w:w="100" w:type="dxa"/>
              <w:end w:w="100" w:type="dxa"/>
            </w:tcMar>
            <w:shd w:fill="FBFCFE"/>
            <w:vAlign w:val="center"/>
          </w:tcPr>
          <w:p>
            <w:pPr>
              <w:spacing w:after="0"/>
            </w:pPr>
            <w:r/>
            <w:r>
              <w:rPr>
                <w:rFonts w:ascii="Arial" w:hAnsi="Arial" w:eastAsia="Arial"/>
                <w:b w:val="0"/>
                <w:color w:val="111417"/>
                <w:sz w:val="16"/>
              </w:rPr>
              <w:t>BUDGET-001; Low</w:t>
            </w:r>
          </w:p>
        </w:tc>
        <w:tc>
          <w:tcPr>
            <w:tcW w:type="dxa" w:w="936"/>
            <w:tcMar>
              <w:top w:w="100" w:type="dxa"/>
              <w:start w:w="100" w:type="dxa"/>
              <w:bottom w:w="100" w:type="dxa"/>
              <w:end w:w="100" w:type="dxa"/>
            </w:tcMar>
            <w:shd w:fill="FBFCFE"/>
            <w:vAlign w:val="center"/>
          </w:tcPr>
          <w:p>
            <w:pPr>
              <w:spacing w:after="0"/>
            </w:pPr>
            <w:r/>
            <w:r>
              <w:rPr>
                <w:rFonts w:ascii="Arial" w:hAnsi="Arial" w:eastAsia="Arial"/>
                <w:b w:val="0"/>
                <w:color w:val="111417"/>
                <w:sz w:val="16"/>
              </w:rPr>
              <w:t>Pass</w:t>
            </w:r>
          </w:p>
        </w:tc>
      </w:tr>
      <w:tr>
        <w:tc>
          <w:tcPr>
            <w:tcW w:type="dxa" w:w="792"/>
            <w:tcMar>
              <w:top w:w="100" w:type="dxa"/>
              <w:start w:w="100" w:type="dxa"/>
              <w:bottom w:w="100" w:type="dxa"/>
              <w:end w:w="100" w:type="dxa"/>
            </w:tcMar>
            <w:shd w:fill="FBFCFE"/>
            <w:vAlign w:val="center"/>
          </w:tcPr>
          <w:p>
            <w:pPr>
              <w:spacing w:after="0"/>
            </w:pPr>
            <w:r/>
            <w:r>
              <w:rPr>
                <w:rFonts w:ascii="Arial" w:hAnsi="Arial" w:eastAsia="Arial"/>
                <w:b w:val="0"/>
                <w:color w:val="111417"/>
                <w:sz w:val="16"/>
              </w:rPr>
              <w:t>TC04</w:t>
            </w:r>
          </w:p>
        </w:tc>
        <w:tc>
          <w:tcPr>
            <w:tcW w:type="dxa" w:w="1944"/>
            <w:tcMar>
              <w:top w:w="100" w:type="dxa"/>
              <w:start w:w="100" w:type="dxa"/>
              <w:bottom w:w="100" w:type="dxa"/>
              <w:end w:w="100" w:type="dxa"/>
            </w:tcMar>
            <w:shd w:fill="FBFCFE"/>
            <w:vAlign w:val="center"/>
          </w:tcPr>
          <w:p>
            <w:pPr>
              <w:spacing w:after="0"/>
            </w:pPr>
            <w:r/>
            <w:r>
              <w:rPr>
                <w:rFonts w:ascii="Arial" w:hAnsi="Arial" w:eastAsia="Arial"/>
                <w:b w:val="0"/>
                <w:color w:val="111417"/>
                <w:sz w:val="16"/>
              </w:rPr>
              <w:t>Resource rule</w:t>
            </w:r>
          </w:p>
        </w:tc>
        <w:tc>
          <w:tcPr>
            <w:tcW w:type="dxa" w:w="2880"/>
            <w:tcMar>
              <w:top w:w="100" w:type="dxa"/>
              <w:start w:w="100" w:type="dxa"/>
              <w:bottom w:w="100" w:type="dxa"/>
              <w:end w:w="100" w:type="dxa"/>
            </w:tcMar>
            <w:shd w:fill="FBFCFE"/>
            <w:vAlign w:val="center"/>
          </w:tcPr>
          <w:p>
            <w:pPr>
              <w:spacing w:after="0"/>
            </w:pPr>
            <w:r/>
            <w:r>
              <w:rPr>
                <w:rFonts w:ascii="Arial" w:hAnsi="Arial" w:eastAsia="Arial"/>
                <w:b w:val="0"/>
                <w:color w:val="111417"/>
                <w:sz w:val="16"/>
              </w:rPr>
              <w:t>Advanced GPU Cluster, quantity 4</w:t>
            </w:r>
          </w:p>
        </w:tc>
        <w:tc>
          <w:tcPr>
            <w:tcW w:type="dxa" w:w="2952"/>
            <w:tcMar>
              <w:top w:w="100" w:type="dxa"/>
              <w:start w:w="100" w:type="dxa"/>
              <w:bottom w:w="100" w:type="dxa"/>
              <w:end w:w="100" w:type="dxa"/>
            </w:tcMar>
            <w:shd w:fill="FBFCFE"/>
            <w:vAlign w:val="center"/>
          </w:tcPr>
          <w:p>
            <w:pPr>
              <w:spacing w:after="0"/>
            </w:pPr>
            <w:r/>
            <w:r>
              <w:rPr>
                <w:rFonts w:ascii="Arial" w:hAnsi="Arial" w:eastAsia="Arial"/>
                <w:b w:val="0"/>
                <w:color w:val="111417"/>
                <w:sz w:val="16"/>
              </w:rPr>
              <w:t>RESOURCE-001; High</w:t>
            </w:r>
          </w:p>
        </w:tc>
        <w:tc>
          <w:tcPr>
            <w:tcW w:type="dxa" w:w="936"/>
            <w:tcMar>
              <w:top w:w="100" w:type="dxa"/>
              <w:start w:w="100" w:type="dxa"/>
              <w:bottom w:w="100" w:type="dxa"/>
              <w:end w:w="100" w:type="dxa"/>
            </w:tcMar>
            <w:shd w:fill="FBFCFE"/>
            <w:vAlign w:val="center"/>
          </w:tcPr>
          <w:p>
            <w:pPr>
              <w:spacing w:after="0"/>
            </w:pPr>
            <w:r/>
            <w:r>
              <w:rPr>
                <w:rFonts w:ascii="Arial" w:hAnsi="Arial" w:eastAsia="Arial"/>
                <w:b w:val="0"/>
                <w:color w:val="111417"/>
                <w:sz w:val="16"/>
              </w:rPr>
              <w:t>Pass</w:t>
            </w:r>
          </w:p>
        </w:tc>
      </w:tr>
      <w:tr>
        <w:tc>
          <w:tcPr>
            <w:tcW w:type="dxa" w:w="792"/>
            <w:tcMar>
              <w:top w:w="100" w:type="dxa"/>
              <w:start w:w="100" w:type="dxa"/>
              <w:bottom w:w="100" w:type="dxa"/>
              <w:end w:w="100" w:type="dxa"/>
            </w:tcMar>
            <w:shd w:fill="FBFCFE"/>
            <w:vAlign w:val="center"/>
          </w:tcPr>
          <w:p>
            <w:pPr>
              <w:spacing w:after="0"/>
            </w:pPr>
            <w:r/>
            <w:r>
              <w:rPr>
                <w:rFonts w:ascii="Arial" w:hAnsi="Arial" w:eastAsia="Arial"/>
                <w:b w:val="0"/>
                <w:color w:val="111417"/>
                <w:sz w:val="16"/>
              </w:rPr>
              <w:t>TC05</w:t>
            </w:r>
          </w:p>
        </w:tc>
        <w:tc>
          <w:tcPr>
            <w:tcW w:type="dxa" w:w="1944"/>
            <w:tcMar>
              <w:top w:w="100" w:type="dxa"/>
              <w:start w:w="100" w:type="dxa"/>
              <w:bottom w:w="100" w:type="dxa"/>
              <w:end w:w="100" w:type="dxa"/>
            </w:tcMar>
            <w:shd w:fill="FBFCFE"/>
            <w:vAlign w:val="center"/>
          </w:tcPr>
          <w:p>
            <w:pPr>
              <w:spacing w:after="0"/>
            </w:pPr>
            <w:r/>
            <w:r>
              <w:rPr>
                <w:rFonts w:ascii="Arial" w:hAnsi="Arial" w:eastAsia="Arial"/>
                <w:b w:val="0"/>
                <w:color w:val="111417"/>
                <w:sz w:val="16"/>
              </w:rPr>
              <w:t>Ethics rule</w:t>
            </w:r>
          </w:p>
        </w:tc>
        <w:tc>
          <w:tcPr>
            <w:tcW w:type="dxa" w:w="2880"/>
            <w:tcMar>
              <w:top w:w="100" w:type="dxa"/>
              <w:start w:w="100" w:type="dxa"/>
              <w:bottom w:w="100" w:type="dxa"/>
              <w:end w:w="100" w:type="dxa"/>
            </w:tcMar>
            <w:shd w:fill="FBFCFE"/>
            <w:vAlign w:val="center"/>
          </w:tcPr>
          <w:p>
            <w:pPr>
              <w:spacing w:after="0"/>
            </w:pPr>
            <w:r/>
            <w:r>
              <w:rPr>
                <w:rFonts w:ascii="Arial" w:hAnsi="Arial" w:eastAsia="Arial"/>
                <w:b w:val="0"/>
                <w:color w:val="111417"/>
                <w:sz w:val="16"/>
              </w:rPr>
              <w:t>Bermuda</w:t>
            </w:r>
          </w:p>
        </w:tc>
        <w:tc>
          <w:tcPr>
            <w:tcW w:type="dxa" w:w="2952"/>
            <w:tcMar>
              <w:top w:w="100" w:type="dxa"/>
              <w:start w:w="100" w:type="dxa"/>
              <w:bottom w:w="100" w:type="dxa"/>
              <w:end w:w="100" w:type="dxa"/>
            </w:tcMar>
            <w:shd w:fill="FBFCFE"/>
            <w:vAlign w:val="center"/>
          </w:tcPr>
          <w:p>
            <w:pPr>
              <w:spacing w:after="0"/>
            </w:pPr>
            <w:r/>
            <w:r>
              <w:rPr>
                <w:rFonts w:ascii="Arial" w:hAnsi="Arial" w:eastAsia="Arial"/>
                <w:b w:val="0"/>
                <w:color w:val="111417"/>
                <w:sz w:val="16"/>
              </w:rPr>
              <w:t>ETHICS-001; High</w:t>
            </w:r>
          </w:p>
        </w:tc>
        <w:tc>
          <w:tcPr>
            <w:tcW w:type="dxa" w:w="936"/>
            <w:tcMar>
              <w:top w:w="100" w:type="dxa"/>
              <w:start w:w="100" w:type="dxa"/>
              <w:bottom w:w="100" w:type="dxa"/>
              <w:end w:w="100" w:type="dxa"/>
            </w:tcMar>
            <w:shd w:fill="FBFCFE"/>
            <w:vAlign w:val="center"/>
          </w:tcPr>
          <w:p>
            <w:pPr>
              <w:spacing w:after="0"/>
            </w:pPr>
            <w:r/>
            <w:r>
              <w:rPr>
                <w:rFonts w:ascii="Arial" w:hAnsi="Arial" w:eastAsia="Arial"/>
                <w:b w:val="0"/>
                <w:color w:val="111417"/>
                <w:sz w:val="16"/>
              </w:rPr>
              <w:t>Pass</w:t>
            </w:r>
          </w:p>
        </w:tc>
      </w:tr>
      <w:tr>
        <w:tc>
          <w:tcPr>
            <w:tcW w:type="dxa" w:w="792"/>
            <w:tcMar>
              <w:top w:w="100" w:type="dxa"/>
              <w:start w:w="100" w:type="dxa"/>
              <w:bottom w:w="100" w:type="dxa"/>
              <w:end w:w="100" w:type="dxa"/>
            </w:tcMar>
            <w:shd w:fill="FBFCFE"/>
            <w:vAlign w:val="center"/>
          </w:tcPr>
          <w:p>
            <w:pPr>
              <w:spacing w:after="0"/>
            </w:pPr>
            <w:r/>
            <w:r>
              <w:rPr>
                <w:rFonts w:ascii="Arial" w:hAnsi="Arial" w:eastAsia="Arial"/>
                <w:b w:val="0"/>
                <w:color w:val="111417"/>
                <w:sz w:val="16"/>
              </w:rPr>
              <w:t>TC06</w:t>
            </w:r>
          </w:p>
        </w:tc>
        <w:tc>
          <w:tcPr>
            <w:tcW w:type="dxa" w:w="1944"/>
            <w:tcMar>
              <w:top w:w="100" w:type="dxa"/>
              <w:start w:w="100" w:type="dxa"/>
              <w:bottom w:w="100" w:type="dxa"/>
              <w:end w:w="100" w:type="dxa"/>
            </w:tcMar>
            <w:shd w:fill="FBFCFE"/>
            <w:vAlign w:val="center"/>
          </w:tcPr>
          <w:p>
            <w:pPr>
              <w:spacing w:after="0"/>
            </w:pPr>
            <w:r/>
            <w:r>
              <w:rPr>
                <w:rFonts w:ascii="Arial" w:hAnsi="Arial" w:eastAsia="Arial"/>
                <w:b w:val="0"/>
                <w:color w:val="111417"/>
                <w:sz w:val="16"/>
              </w:rPr>
              <w:t>Combined risk</w:t>
            </w:r>
          </w:p>
        </w:tc>
        <w:tc>
          <w:tcPr>
            <w:tcW w:type="dxa" w:w="2880"/>
            <w:tcMar>
              <w:top w:w="100" w:type="dxa"/>
              <w:start w:w="100" w:type="dxa"/>
              <w:bottom w:w="100" w:type="dxa"/>
              <w:end w:w="100" w:type="dxa"/>
            </w:tcMar>
            <w:shd w:fill="FBFCFE"/>
            <w:vAlign w:val="center"/>
          </w:tcPr>
          <w:p>
            <w:pPr>
              <w:spacing w:after="0"/>
            </w:pPr>
            <w:r/>
            <w:r>
              <w:rPr>
                <w:rFonts w:ascii="Arial" w:hAnsi="Arial" w:eastAsia="Arial"/>
                <w:b w:val="0"/>
                <w:color w:val="111417"/>
                <w:sz w:val="16"/>
              </w:rPr>
              <w:t>Budget 9000, GPU 4, Bermuda</w:t>
            </w:r>
          </w:p>
        </w:tc>
        <w:tc>
          <w:tcPr>
            <w:tcW w:type="dxa" w:w="2952"/>
            <w:tcMar>
              <w:top w:w="100" w:type="dxa"/>
              <w:start w:w="100" w:type="dxa"/>
              <w:bottom w:w="100" w:type="dxa"/>
              <w:end w:w="100" w:type="dxa"/>
            </w:tcMar>
            <w:shd w:fill="FBFCFE"/>
            <w:vAlign w:val="center"/>
          </w:tcPr>
          <w:p>
            <w:pPr>
              <w:spacing w:after="0"/>
            </w:pPr>
            <w:r/>
            <w:r>
              <w:rPr>
                <w:rFonts w:ascii="Arial" w:hAnsi="Arial" w:eastAsia="Arial"/>
                <w:b w:val="0"/>
                <w:color w:val="111417"/>
                <w:sz w:val="16"/>
              </w:rPr>
              <w:t>Three alerts returned</w:t>
            </w:r>
          </w:p>
        </w:tc>
        <w:tc>
          <w:tcPr>
            <w:tcW w:type="dxa" w:w="936"/>
            <w:tcMar>
              <w:top w:w="100" w:type="dxa"/>
              <w:start w:w="100" w:type="dxa"/>
              <w:bottom w:w="100" w:type="dxa"/>
              <w:end w:w="100" w:type="dxa"/>
            </w:tcMar>
            <w:shd w:fill="FBFCFE"/>
            <w:vAlign w:val="center"/>
          </w:tcPr>
          <w:p>
            <w:pPr>
              <w:spacing w:after="0"/>
            </w:pPr>
            <w:r/>
            <w:r>
              <w:rPr>
                <w:rFonts w:ascii="Arial" w:hAnsi="Arial" w:eastAsia="Arial"/>
                <w:b w:val="0"/>
                <w:color w:val="111417"/>
                <w:sz w:val="16"/>
              </w:rPr>
              <w:t>Pass</w:t>
            </w:r>
          </w:p>
        </w:tc>
      </w:tr>
    </w:tbl>
    <w:p>
      <w:pPr>
        <w:pageBreakBefore w:val="0"/>
        <w:spacing w:after="40"/>
      </w:pPr>
    </w:p>
    <w:p>
      <w:pPr>
        <w:pStyle w:val="Heading2"/>
        <w:pageBreakBefore w:val="0"/>
      </w:pPr>
      <w:r>
        <w:t>3.3 Key Findings</w:t>
      </w:r>
    </w:p>
    <w:p>
      <w:pPr>
        <w:pageBreakBefore w:val="0"/>
      </w:pPr>
      <w:r>
        <w:t>All core coursework requirements are implemented. Build verification passed with zero warnings and zero errors. The automated suite passed 8 out of 8 tests. The validation response is structured, and all three compliance rules return explicit rule codes and severities. The premium UI is not required by the brief but improves demonstration quality and shows the JSON request contract clearly.</w:t>
      </w:r>
    </w:p>
    <w:p>
      <w:pPr>
        <w:pStyle w:val="Heading1"/>
        <w:pageBreakBefore w:val="0"/>
      </w:pPr>
      <w:r>
        <w:t>4. Conclusion</w:t>
      </w:r>
    </w:p>
    <w:p>
      <w:pPr>
        <w:pageBreakBefore w:val="0"/>
      </w:pPr>
      <w:r>
        <w:t>This project demonstrates a clean Web API implementation for initial proposal compliance screening. The design separates concerns between request validation, controller orchestration, compliance analysis, and response contracts. The solution is reliable for the defined coursework scope and is packaged with setup instructions, automated tests, manual test evidence, and a concise professional report.</w:t>
      </w:r>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6874"/>
        <w:sz w:val="16"/>
      </w:rPr>
      <w:t>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F6874"/>
        <w:sz w:val="16"/>
      </w:rPr>
      <w:t>PAS Proposal Compliance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252B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11417"/>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11417"/>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11141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115"/>
    </w:pPr>
    <w:rPr>
      <w:rFonts w:ascii="Consolas" w:hAnsi="Consolas" w:eastAsia="Consolas"/>
      <w:color w:val="2028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