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E07B1A"/>
          <w:sz w:val="26"/>
          <w:szCs w:val="26"/>
        </w:rPr>
        <w:t xml:space="preserve">CAHIER DES CHARGES</w:t>
      </w:r>
    </w:p>
    <w:p>
      <w:pPr>
        <w:spacing w:after="100" w:before="200"/>
        <w:jc w:val="center"/>
      </w:pPr>
      <w:r>
        <w:rPr>
          <w:b/>
          <w:bCs/>
          <w:color w:val="1B2A4A"/>
          <w:sz w:val="64"/>
          <w:szCs w:val="64"/>
        </w:rPr>
        <w:t xml:space="preserve">GESCOMPTA</w:t>
      </w:r>
    </w:p>
    <w:p>
      <w:pPr>
        <w:spacing w:after="600"/>
        <w:jc w:val="center"/>
      </w:pPr>
      <w:r>
        <w:rPr>
          <w:i/>
          <w:iCs/>
          <w:color w:val="5A5A5A"/>
          <w:sz w:val="24"/>
          <w:szCs w:val="24"/>
        </w:rPr>
        <w:t xml:space="preserve">Logiciel de gestion commerciale et de comptabilité SYSCOHADA
assisté par intelligence artificielle, pour Desktop</w:t>
      </w:r>
    </w:p>
    <w:p>
      <w:pPr>
        <w:spacing w:before="1200"/>
        <w:jc w:val="center"/>
      </w:pPr>
      <w:r>
        <w:rPr>
          <w:b/>
          <w:bCs/>
          <w:color w:val="222222"/>
          <w:sz w:val="22"/>
          <w:szCs w:val="22"/>
        </w:rPr>
        <w:t xml:space="preserve">Porteur de projet : Hassimiou</w:t>
      </w:r>
    </w:p>
    <w:p>
      <w:pPr>
        <w:spacing w:after="100"/>
        <w:jc w:val="center"/>
      </w:pPr>
      <w:r>
        <w:rPr>
          <w:color w:val="5A5A5A"/>
          <w:sz w:val="20"/>
          <w:szCs w:val="20"/>
        </w:rPr>
        <w:t xml:space="preserve">Développeur Full-Stack — Université de Labé, Guinée</w:t>
      </w:r>
    </w:p>
    <w:p>
      <w:pPr>
        <w:spacing w:after="100"/>
        <w:jc w:val="center"/>
      </w:pPr>
      <w:r>
        <w:rPr>
          <w:color w:val="5A5A5A"/>
          <w:sz w:val="20"/>
          <w:szCs w:val="20"/>
        </w:rPr>
        <w:t xml:space="preserve">Version 1.0 — Juillet 2026</w:t>
      </w:r>
    </w:p>
    <w:p>
      <w:pPr>
        <w:spacing w:before="1600"/>
        <w:jc w:val="center"/>
      </w:pPr>
      <w:r>
        <w:rPr>
          <w:i/>
          <w:iCs/>
          <w:color w:val="5A5A5A"/>
          <w:sz w:val="16"/>
          <w:szCs w:val="16"/>
        </w:rPr>
        <w:t xml:space="preserve">Document confidentiel — usage interne et présentation partenaires</w:t>
      </w:r>
    </w:p>
    <w:p>
      <w:r>
        <w:br w:type="page"/>
      </w:r>
    </w:p>
    <w:p>
      <w:pPr>
        <w:pStyle w:val="Heading1"/>
        <w:pBdr>
          <w:bottom w:val="single" w:color="E07B1A" w:sz="12" w:space="4"/>
        </w:pBdr>
        <w:spacing w:after="200" w:before="400"/>
      </w:pPr>
      <w:r>
        <w:rPr>
          <w:b/>
          <w:bCs/>
          <w:color w:val="1B2A4A"/>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07B1A" w:sz="12" w:space="4"/>
        </w:pBdr>
        <w:spacing w:after="200" w:before="400"/>
      </w:pPr>
      <w:r>
        <w:rPr>
          <w:b/>
          <w:bCs/>
          <w:color w:val="1B2A4A"/>
          <w:sz w:val="30"/>
          <w:szCs w:val="30"/>
        </w:rPr>
        <w:t xml:space="preserve">1. Résumé exécutif</w:t>
      </w:r>
    </w:p>
    <w:p>
      <w:pPr>
        <w:spacing w:after="140" w:line="276"/>
      </w:pPr>
      <w:r>
        <w:rPr>
          <w:color w:val="222222"/>
          <w:sz w:val="21"/>
          <w:szCs w:val="21"/>
        </w:rPr>
        <w:t xml:space="preserve">GESCOMPTA est un logiciel de bureau (Desktop) destiné aux commerçants, boutiques et petites entreprises de Guinée, conçu pour remplacer le cahier papier et réduire la dépendance aux comptables externes. Il combine trois piliers : la gestion commerciale (ventes, stock, dettes clients), la comptabilité conforme aux normes SYSCOHADA révisées, et un assistant intelligent basé sur l'IA qui automatise la saisie comptable et produit des rapports compréhensibles par un non-spécialiste.</w:t>
      </w:r>
    </w:p>
    <w:p>
      <w:pPr>
        <w:spacing w:after="140" w:line="276"/>
      </w:pPr>
      <w:r>
        <w:rPr>
          <w:color w:val="222222"/>
          <w:sz w:val="21"/>
          <w:szCs w:val="21"/>
        </w:rPr>
        <w:t xml:space="preserve">Le logiciel fonctionne hors-ligne en priorité (base de données locale), avec synchronisation optionnelle, pour s'adapter aux réalités de connectivité du marché guinéen. Il est développé en Flutter, permettant un déploiement Desktop natif (Windows en priorité) avec une possibilité d'extension future vers mobile et tablette à partir de la même base de code.</w:t>
      </w:r>
    </w:p>
    <w:p>
      <w:pPr>
        <w:spacing w:after="140" w:line="276"/>
      </w:pPr>
      <w:r>
        <w:rPr>
          <w:color w:val="222222"/>
          <w:sz w:val="21"/>
          <w:szCs w:val="21"/>
        </w:rPr>
        <w:t xml:space="preserve">L'ambition du projet est de devenir l'outil de référence pour la gestion des petits et moyens commerces en Guinée, puis en Afrique de l'Ouest francophone, en combinant simplicité d'usage, conformité réglementaire locale (SYSCOHADA) et intelligence artificielle accessible.</w:t>
      </w:r>
    </w:p>
    <w:p>
      <w:pPr>
        <w:pStyle w:val="Heading1"/>
        <w:pBdr>
          <w:bottom w:val="single" w:color="E07B1A" w:sz="12" w:space="4"/>
        </w:pBdr>
        <w:spacing w:after="200" w:before="400"/>
      </w:pPr>
      <w:r>
        <w:rPr>
          <w:b/>
          <w:bCs/>
          <w:color w:val="1B2A4A"/>
          <w:sz w:val="30"/>
          <w:szCs w:val="30"/>
        </w:rPr>
        <w:t xml:space="preserve">2. Contexte et problématique</w:t>
      </w:r>
    </w:p>
    <w:p>
      <w:pPr>
        <w:pStyle w:val="Heading2"/>
        <w:spacing w:after="120" w:before="260"/>
      </w:pPr>
      <w:r>
        <w:rPr>
          <w:b/>
          <w:bCs/>
          <w:color w:val="1B2A4A"/>
          <w:sz w:val="24"/>
          <w:szCs w:val="24"/>
        </w:rPr>
        <w:t xml:space="preserve">2.1 Constat du marché</w:t>
      </w:r>
    </w:p>
    <w:p>
      <w:pPr>
        <w:pStyle w:val="ListParagraph"/>
        <w:numPr>
          <w:ilvl w:val="0"/>
          <w:numId w:val="2"/>
        </w:numPr>
        <w:spacing w:after="70"/>
      </w:pPr>
      <w:r>
        <w:rPr>
          <w:color w:val="222222"/>
          <w:sz w:val="21"/>
          <w:szCs w:val="21"/>
        </w:rPr>
        <w:t xml:space="preserve">La grande majorité des boutiques et petits commerces en Guinée gèrent leurs ventes, leur stock et leurs créances clients sur cahier papier.</w:t>
      </w:r>
    </w:p>
    <w:p>
      <w:pPr>
        <w:pStyle w:val="ListParagraph"/>
        <w:numPr>
          <w:ilvl w:val="0"/>
          <w:numId w:val="2"/>
        </w:numPr>
        <w:spacing w:after="70"/>
      </w:pPr>
      <w:r>
        <w:rPr>
          <w:color w:val="222222"/>
          <w:sz w:val="21"/>
          <w:szCs w:val="21"/>
        </w:rPr>
        <w:t xml:space="preserve">Les commerçants qui souhaitent une comptabilité conforme SYSCOHADA font appel à des comptables externes, à un coût récurrent souvent élevé pour une PME.</w:t>
      </w:r>
    </w:p>
    <w:p>
      <w:pPr>
        <w:pStyle w:val="ListParagraph"/>
        <w:numPr>
          <w:ilvl w:val="0"/>
          <w:numId w:val="2"/>
        </w:numPr>
        <w:spacing w:after="70"/>
      </w:pPr>
      <w:r>
        <w:rPr>
          <w:color w:val="222222"/>
          <w:sz w:val="21"/>
          <w:szCs w:val="21"/>
        </w:rPr>
        <w:t xml:space="preserve">Les outils de gestion existants sur le marché sont soit trop génériques (non adaptés au contexte local et à SYSCOHADA), soit trop complexes et coûteux pour un petit commerçant.</w:t>
      </w:r>
    </w:p>
    <w:p>
      <w:pPr>
        <w:pStyle w:val="ListParagraph"/>
        <w:numPr>
          <w:ilvl w:val="0"/>
          <w:numId w:val="2"/>
        </w:numPr>
        <w:spacing w:after="70"/>
      </w:pPr>
      <w:r>
        <w:rPr>
          <w:color w:val="222222"/>
          <w:sz w:val="21"/>
          <w:szCs w:val="21"/>
        </w:rPr>
        <w:t xml:space="preserve">La connectivité internet reste irrégulière dans plusieurs zones (Labé, périphérie de Conakry), rendant les solutions 100% cloud peu fiables au quotidien.</w:t>
      </w:r>
    </w:p>
    <w:p>
      <w:pPr>
        <w:pStyle w:val="Heading2"/>
        <w:spacing w:after="120" w:before="260"/>
      </w:pPr>
      <w:r>
        <w:rPr>
          <w:b/>
          <w:bCs/>
          <w:color w:val="1B2A4A"/>
          <w:sz w:val="24"/>
          <w:szCs w:val="24"/>
        </w:rPr>
        <w:t xml:space="preserve">2.2 Opportunité</w:t>
      </w:r>
    </w:p>
    <w:p>
      <w:pPr>
        <w:spacing w:after="140" w:line="276"/>
      </w:pPr>
      <w:r>
        <w:rPr>
          <w:color w:val="222222"/>
          <w:sz w:val="21"/>
          <w:szCs w:val="21"/>
        </w:rPr>
        <w:t xml:space="preserve">Un logiciel Desktop, fonctionnant hors-ligne, combinant gestion commerciale et comptabilité normée SYSCOHADA, avec une couche d'intelligence artificielle qui simplifie la saisie et la lecture des données financières, répond à un besoin réel et peu adressé localement. Le porteur du projet dispose de compétences techniques (développement Flutter, bases de données) et de notions comptables SYSCOHADA/OHADA, ce qui constitue un avantage rare combinant expertise métier et capacité technique.</w:t>
      </w:r>
    </w:p>
    <w:p>
      <w:pPr>
        <w:pStyle w:val="Heading1"/>
        <w:pBdr>
          <w:bottom w:val="single" w:color="E07B1A" w:sz="12" w:space="4"/>
        </w:pBdr>
        <w:spacing w:after="200" w:before="400"/>
      </w:pPr>
      <w:r>
        <w:rPr>
          <w:b/>
          <w:bCs/>
          <w:color w:val="1B2A4A"/>
          <w:sz w:val="30"/>
          <w:szCs w:val="30"/>
        </w:rPr>
        <w:t xml:space="preserve">3. Objectifs du projet</w:t>
      </w:r>
    </w:p>
    <w:p>
      <w:pPr>
        <w:pStyle w:val="Heading2"/>
        <w:spacing w:after="120" w:before="260"/>
      </w:pPr>
      <w:r>
        <w:rPr>
          <w:b/>
          <w:bCs/>
          <w:color w:val="1B2A4A"/>
          <w:sz w:val="24"/>
          <w:szCs w:val="24"/>
        </w:rPr>
        <w:t xml:space="preserve">3.1 Objectif général</w:t>
      </w:r>
    </w:p>
    <w:p>
      <w:pPr>
        <w:spacing w:after="140" w:line="276"/>
      </w:pPr>
      <w:r>
        <w:rPr>
          <w:color w:val="222222"/>
          <w:sz w:val="21"/>
          <w:szCs w:val="21"/>
        </w:rPr>
        <w:t xml:space="preserve">Développer un logiciel Desktop complet permettant à un commerçant de gérer ses ventes, son stock, ses créances clients et sa comptabilité SYSCOHADA de manière autonome, fiable et assistée par l'intelligence artificielle, sans dépendre d'un comptable externe pour les opérations courantes.</w:t>
      </w:r>
    </w:p>
    <w:p>
      <w:pPr>
        <w:pStyle w:val="Heading2"/>
        <w:spacing w:after="120" w:before="260"/>
      </w:pPr>
      <w:r>
        <w:rPr>
          <w:b/>
          <w:bCs/>
          <w:color w:val="1B2A4A"/>
          <w:sz w:val="24"/>
          <w:szCs w:val="24"/>
        </w:rPr>
        <w:t xml:space="preserve">3.2 Objectifs spécifiques</w:t>
      </w:r>
    </w:p>
    <w:p>
      <w:pPr>
        <w:pStyle w:val="ListParagraph"/>
        <w:numPr>
          <w:ilvl w:val="0"/>
          <w:numId w:val="2"/>
        </w:numPr>
        <w:spacing w:after="70"/>
      </w:pPr>
      <w:r>
        <w:rPr>
          <w:color w:val="222222"/>
          <w:sz w:val="21"/>
          <w:szCs w:val="21"/>
        </w:rPr>
        <w:t xml:space="preserve">Réduire de manière significative le temps consacré par le commerçant à la saisie et au suivi de ses opérations quotidiennes.</w:t>
      </w:r>
    </w:p>
    <w:p>
      <w:pPr>
        <w:pStyle w:val="ListParagraph"/>
        <w:numPr>
          <w:ilvl w:val="0"/>
          <w:numId w:val="2"/>
        </w:numPr>
        <w:spacing w:after="70"/>
      </w:pPr>
      <w:r>
        <w:rPr>
          <w:color w:val="222222"/>
          <w:sz w:val="21"/>
          <w:szCs w:val="21"/>
        </w:rPr>
        <w:t xml:space="preserve">Générer automatiquement les documents comptables réglementaires (journal, grand livre, balance) à partir des opérations commerciales.</w:t>
      </w:r>
    </w:p>
    <w:p>
      <w:pPr>
        <w:pStyle w:val="ListParagraph"/>
        <w:numPr>
          <w:ilvl w:val="0"/>
          <w:numId w:val="2"/>
        </w:numPr>
        <w:spacing w:after="70"/>
      </w:pPr>
      <w:r>
        <w:rPr>
          <w:color w:val="222222"/>
          <w:sz w:val="21"/>
          <w:szCs w:val="21"/>
        </w:rPr>
        <w:t xml:space="preserve">Rendre la comptabilité compréhensible pour un utilisateur non-initié grâce à des rapports en langage simple générés par l'IA.</w:t>
      </w:r>
    </w:p>
    <w:p>
      <w:pPr>
        <w:pStyle w:val="ListParagraph"/>
        <w:numPr>
          <w:ilvl w:val="0"/>
          <w:numId w:val="2"/>
        </w:numPr>
        <w:spacing w:after="70"/>
      </w:pPr>
      <w:r>
        <w:rPr>
          <w:color w:val="222222"/>
          <w:sz w:val="21"/>
          <w:szCs w:val="21"/>
        </w:rPr>
        <w:t xml:space="preserve">Proposer un outil modulable selon le secteur d'activité du commerce (épicerie, pièces détachées, pharmacie, textile, etc.).</w:t>
      </w:r>
    </w:p>
    <w:p>
      <w:pPr>
        <w:pStyle w:val="ListParagraph"/>
        <w:numPr>
          <w:ilvl w:val="0"/>
          <w:numId w:val="2"/>
        </w:numPr>
        <w:spacing w:after="70"/>
      </w:pPr>
      <w:r>
        <w:rPr>
          <w:color w:val="222222"/>
          <w:sz w:val="21"/>
          <w:szCs w:val="21"/>
        </w:rPr>
        <w:t xml:space="preserve">Fonctionner intégralement hors-ligne, sans dépendance à une connexion internet stable.</w:t>
      </w:r>
    </w:p>
    <w:p>
      <w:pPr>
        <w:pStyle w:val="ListParagraph"/>
        <w:numPr>
          <w:ilvl w:val="0"/>
          <w:numId w:val="2"/>
        </w:numPr>
        <w:spacing w:after="70"/>
      </w:pPr>
      <w:r>
        <w:rPr>
          <w:color w:val="222222"/>
          <w:sz w:val="21"/>
          <w:szCs w:val="21"/>
        </w:rPr>
        <w:t xml:space="preserve">Construire un modèle économique récurrent (abonnement) assurant un revenu stable au porteur de projet.</w:t>
      </w:r>
    </w:p>
    <w:p>
      <w:pPr>
        <w:pStyle w:val="Heading1"/>
        <w:pBdr>
          <w:bottom w:val="single" w:color="E07B1A" w:sz="12" w:space="4"/>
        </w:pBdr>
        <w:spacing w:after="200" w:before="400"/>
      </w:pPr>
      <w:r>
        <w:rPr>
          <w:b/>
          <w:bCs/>
          <w:color w:val="1B2A4A"/>
          <w:sz w:val="30"/>
          <w:szCs w:val="30"/>
        </w:rPr>
        <w:t xml:space="preserve">4. Périmètre fonctionnel</w:t>
      </w:r>
    </w:p>
    <w:p>
      <w:pPr>
        <w:pStyle w:val="Heading2"/>
        <w:spacing w:after="120" w:before="260"/>
      </w:pPr>
      <w:r>
        <w:rPr>
          <w:b/>
          <w:bCs/>
          <w:color w:val="1B2A4A"/>
          <w:sz w:val="24"/>
          <w:szCs w:val="24"/>
        </w:rPr>
        <w:t xml:space="preserve">4.1 Approche : noyau commun + modules sectoriels</w:t>
      </w:r>
    </w:p>
    <w:p>
      <w:pPr>
        <w:spacing w:after="140" w:line="276"/>
      </w:pPr>
      <w:r>
        <w:rPr>
          <w:color w:val="222222"/>
          <w:sz w:val="21"/>
          <w:szCs w:val="21"/>
        </w:rPr>
        <w:t xml:space="preserve">Pour éviter de développer une version différente par secteur d'activité, le logiciel repose sur un noyau fonctionnel commun à tous les commerces, complété par des modules spécifiques activables selon le secteur déclaré à la configuration initiale.</w:t>
      </w:r>
    </w:p>
    <w:p>
      <w:pPr>
        <w:pStyle w:val="Heading3"/>
        <w:spacing w:after="80" w:before="180"/>
      </w:pPr>
      <w:r>
        <w:rPr>
          <w:b/>
          <w:bCs/>
          <w:color w:val="E07B1A"/>
          <w:sz w:val="21"/>
          <w:szCs w:val="21"/>
        </w:rPr>
        <w:t xml:space="preserve">Noyau commun (tous secteurs)</w:t>
      </w:r>
    </w:p>
    <w:p>
      <w:pPr>
        <w:pStyle w:val="ListParagraph"/>
        <w:numPr>
          <w:ilvl w:val="0"/>
          <w:numId w:val="2"/>
        </w:numPr>
        <w:spacing w:after="70"/>
      </w:pPr>
      <w:r>
        <w:rPr>
          <w:color w:val="222222"/>
          <w:sz w:val="21"/>
          <w:szCs w:val="21"/>
        </w:rPr>
        <w:t xml:space="preserve">Gestion des ventes et encaissements</w:t>
      </w:r>
    </w:p>
    <w:p>
      <w:pPr>
        <w:pStyle w:val="ListParagraph"/>
        <w:numPr>
          <w:ilvl w:val="0"/>
          <w:numId w:val="2"/>
        </w:numPr>
        <w:spacing w:after="70"/>
      </w:pPr>
      <w:r>
        <w:rPr>
          <w:color w:val="222222"/>
          <w:sz w:val="21"/>
          <w:szCs w:val="21"/>
        </w:rPr>
        <w:t xml:space="preserve">Gestion du stock et des approvisionnements</w:t>
      </w:r>
    </w:p>
    <w:p>
      <w:pPr>
        <w:pStyle w:val="ListParagraph"/>
        <w:numPr>
          <w:ilvl w:val="0"/>
          <w:numId w:val="2"/>
        </w:numPr>
        <w:spacing w:after="70"/>
      </w:pPr>
      <w:r>
        <w:rPr>
          <w:color w:val="222222"/>
          <w:sz w:val="21"/>
          <w:szCs w:val="21"/>
        </w:rPr>
        <w:t xml:space="preserve">Gestion des créances clients (« cahier de crédit » numérique)</w:t>
      </w:r>
    </w:p>
    <w:p>
      <w:pPr>
        <w:pStyle w:val="ListParagraph"/>
        <w:numPr>
          <w:ilvl w:val="0"/>
          <w:numId w:val="2"/>
        </w:numPr>
        <w:spacing w:after="70"/>
      </w:pPr>
      <w:r>
        <w:rPr>
          <w:color w:val="222222"/>
          <w:sz w:val="21"/>
          <w:szCs w:val="21"/>
        </w:rPr>
        <w:t xml:space="preserve">Comptabilité SYSCOHADA (écritures, journal, grand livre, balance)</w:t>
      </w:r>
    </w:p>
    <w:p>
      <w:pPr>
        <w:pStyle w:val="ListParagraph"/>
        <w:numPr>
          <w:ilvl w:val="0"/>
          <w:numId w:val="2"/>
        </w:numPr>
        <w:spacing w:after="70"/>
      </w:pPr>
      <w:r>
        <w:rPr>
          <w:color w:val="222222"/>
          <w:sz w:val="21"/>
          <w:szCs w:val="21"/>
        </w:rPr>
        <w:t xml:space="preserve">Tableaux de bord et rapports (quotidien, mensuel)</w:t>
      </w:r>
    </w:p>
    <w:p>
      <w:pPr>
        <w:pStyle w:val="ListParagraph"/>
        <w:numPr>
          <w:ilvl w:val="0"/>
          <w:numId w:val="2"/>
        </w:numPr>
        <w:spacing w:after="70"/>
      </w:pPr>
      <w:r>
        <w:rPr>
          <w:color w:val="222222"/>
          <w:sz w:val="21"/>
          <w:szCs w:val="21"/>
        </w:rPr>
        <w:t xml:space="preserve">Assistant IA (catégorisation, anomalies, rapports en langage simple)</w:t>
      </w:r>
    </w:p>
    <w:p>
      <w:pPr>
        <w:pStyle w:val="Heading3"/>
        <w:spacing w:after="80" w:before="180"/>
      </w:pPr>
      <w:r>
        <w:rPr>
          <w:b/>
          <w:bCs/>
          <w:color w:val="E07B1A"/>
          <w:sz w:val="21"/>
          <w:szCs w:val="21"/>
        </w:rPr>
        <w:t xml:space="preserve">Modules sectoriels (activables selon configuration)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B2A4A" w:val="clear"/>
            <w:tcMar>
              <w:top w:type="dxa" w:w="100"/>
              <w:left w:type="dxa" w:w="120"/>
              <w:bottom w:type="dxa" w:w="100"/>
              <w:right w:type="dxa" w:w="120"/>
            </w:tcMar>
            <w:vAlign w:val="center"/>
          </w:tcPr>
          <w:p>
            <w:r>
              <w:rPr>
                <w:b/>
                <w:bCs/>
                <w:color w:val="FFFFFF"/>
                <w:sz w:val="20"/>
                <w:szCs w:val="20"/>
              </w:rPr>
              <w:t xml:space="preserve">Secteur</w:t>
            </w:r>
          </w:p>
        </w:tc>
        <w:tc>
          <w:tcPr>
            <w:tcW w:type="dxa" w:w="6200"/>
            <w:shd w:fill="1B2A4A" w:val="clear"/>
            <w:tcMar>
              <w:top w:type="dxa" w:w="100"/>
              <w:left w:type="dxa" w:w="120"/>
              <w:bottom w:type="dxa" w:w="100"/>
              <w:right w:type="dxa" w:w="120"/>
            </w:tcMar>
            <w:vAlign w:val="center"/>
          </w:tcPr>
          <w:p>
            <w:r>
              <w:rPr>
                <w:b/>
                <w:bCs/>
                <w:color w:val="FFFFFF"/>
                <w:sz w:val="20"/>
                <w:szCs w:val="20"/>
              </w:rPr>
              <w:t xml:space="preserve">Spécificités du module</w:t>
            </w:r>
          </w:p>
        </w:tc>
      </w:tr>
      <w:tr>
        <w:tc>
          <w:tcPr>
            <w:tcW w:type="dxa" w:w="3300"/>
            <w:tcMar>
              <w:top w:type="dxa" w:w="100"/>
              <w:left w:type="dxa" w:w="120"/>
              <w:bottom w:type="dxa" w:w="100"/>
              <w:right w:type="dxa" w:w="120"/>
            </w:tcMar>
            <w:vAlign w:val="center"/>
          </w:tcPr>
          <w:p>
            <w:r>
              <w:rPr>
                <w:b w:val="false"/>
                <w:bCs w:val="false"/>
                <w:color w:val="222222"/>
                <w:sz w:val="20"/>
                <w:szCs w:val="20"/>
              </w:rPr>
              <w:t xml:space="preserve">Épicerie / alimentation générale</w:t>
            </w:r>
          </w:p>
        </w:tc>
        <w:tc>
          <w:tcPr>
            <w:tcW w:type="dxa" w:w="6200"/>
            <w:tcMar>
              <w:top w:type="dxa" w:w="100"/>
              <w:left w:type="dxa" w:w="120"/>
              <w:bottom w:type="dxa" w:w="100"/>
              <w:right w:type="dxa" w:w="120"/>
            </w:tcMar>
            <w:vAlign w:val="center"/>
          </w:tcPr>
          <w:p>
            <w:r>
              <w:rPr>
                <w:b w:val="false"/>
                <w:bCs w:val="false"/>
                <w:color w:val="222222"/>
                <w:sz w:val="20"/>
                <w:szCs w:val="20"/>
              </w:rPr>
              <w:t xml:space="preserve">Gestion par poids/unité, suivi des dates de péremption, gestion des produits en vrac</w:t>
            </w:r>
          </w:p>
        </w:tc>
      </w:tr>
      <w:tr>
        <w:tc>
          <w:tcPr>
            <w:tcW w:type="dxa" w:w="3300"/>
            <w:shd w:fill="F2F2F2" w:val="clear"/>
            <w:tcMar>
              <w:top w:type="dxa" w:w="100"/>
              <w:left w:type="dxa" w:w="120"/>
              <w:bottom w:type="dxa" w:w="100"/>
              <w:right w:type="dxa" w:w="120"/>
            </w:tcMar>
            <w:vAlign w:val="center"/>
          </w:tcPr>
          <w:p>
            <w:r>
              <w:rPr>
                <w:b w:val="false"/>
                <w:bCs w:val="false"/>
                <w:color w:val="222222"/>
                <w:sz w:val="20"/>
                <w:szCs w:val="20"/>
              </w:rPr>
              <w:t xml:space="preserve">Pièces détachées (auto/moto)</w:t>
            </w:r>
          </w:p>
        </w:tc>
        <w:tc>
          <w:tcPr>
            <w:tcW w:type="dxa" w:w="6200"/>
            <w:shd w:fill="F2F2F2" w:val="clear"/>
            <w:tcMar>
              <w:top w:type="dxa" w:w="100"/>
              <w:left w:type="dxa" w:w="120"/>
              <w:bottom w:type="dxa" w:w="100"/>
              <w:right w:type="dxa" w:w="120"/>
            </w:tcMar>
            <w:vAlign w:val="center"/>
          </w:tcPr>
          <w:p>
            <w:r>
              <w:rPr>
                <w:b w:val="false"/>
                <w:bCs w:val="false"/>
                <w:color w:val="222222"/>
                <w:sz w:val="20"/>
                <w:szCs w:val="20"/>
              </w:rPr>
              <w:t xml:space="preserve">Références techniques, compatibilité véhicule, recherche par modèle</w:t>
            </w:r>
          </w:p>
        </w:tc>
      </w:tr>
      <w:tr>
        <w:tc>
          <w:tcPr>
            <w:tcW w:type="dxa" w:w="3300"/>
            <w:tcMar>
              <w:top w:type="dxa" w:w="100"/>
              <w:left w:type="dxa" w:w="120"/>
              <w:bottom w:type="dxa" w:w="100"/>
              <w:right w:type="dxa" w:w="120"/>
            </w:tcMar>
            <w:vAlign w:val="center"/>
          </w:tcPr>
          <w:p>
            <w:r>
              <w:rPr>
                <w:b w:val="false"/>
                <w:bCs w:val="false"/>
                <w:color w:val="222222"/>
                <w:sz w:val="20"/>
                <w:szCs w:val="20"/>
              </w:rPr>
              <w:t xml:space="preserve">Pharmacie</w:t>
            </w:r>
          </w:p>
        </w:tc>
        <w:tc>
          <w:tcPr>
            <w:tcW w:type="dxa" w:w="6200"/>
            <w:tcMar>
              <w:top w:type="dxa" w:w="100"/>
              <w:left w:type="dxa" w:w="120"/>
              <w:bottom w:type="dxa" w:w="100"/>
              <w:right w:type="dxa" w:w="120"/>
            </w:tcMar>
            <w:vAlign w:val="center"/>
          </w:tcPr>
          <w:p>
            <w:r>
              <w:rPr>
                <w:b w:val="false"/>
                <w:bCs w:val="false"/>
                <w:color w:val="222222"/>
                <w:sz w:val="20"/>
                <w:szCs w:val="20"/>
              </w:rPr>
              <w:t xml:space="preserve">Gestion des lots, péremption stricte, dénomination commune internationale (DCI)</w:t>
            </w:r>
          </w:p>
        </w:tc>
      </w:tr>
      <w:tr>
        <w:tc>
          <w:tcPr>
            <w:tcW w:type="dxa" w:w="3300"/>
            <w:shd w:fill="F2F2F2" w:val="clear"/>
            <w:tcMar>
              <w:top w:type="dxa" w:w="100"/>
              <w:left w:type="dxa" w:w="120"/>
              <w:bottom w:type="dxa" w:w="100"/>
              <w:right w:type="dxa" w:w="120"/>
            </w:tcMar>
            <w:vAlign w:val="center"/>
          </w:tcPr>
          <w:p>
            <w:r>
              <w:rPr>
                <w:b w:val="false"/>
                <w:bCs w:val="false"/>
                <w:color w:val="222222"/>
                <w:sz w:val="20"/>
                <w:szCs w:val="20"/>
              </w:rPr>
              <w:t xml:space="preserve">Textile / tissus</w:t>
            </w:r>
          </w:p>
        </w:tc>
        <w:tc>
          <w:tcPr>
            <w:tcW w:type="dxa" w:w="6200"/>
            <w:shd w:fill="F2F2F2" w:val="clear"/>
            <w:tcMar>
              <w:top w:type="dxa" w:w="100"/>
              <w:left w:type="dxa" w:w="120"/>
              <w:bottom w:type="dxa" w:w="100"/>
              <w:right w:type="dxa" w:w="120"/>
            </w:tcMar>
            <w:vAlign w:val="center"/>
          </w:tcPr>
          <w:p>
            <w:r>
              <w:rPr>
                <w:b w:val="false"/>
                <w:bCs w:val="false"/>
                <w:color w:val="222222"/>
                <w:sz w:val="20"/>
                <w:szCs w:val="20"/>
              </w:rPr>
              <w:t xml:space="preserve">Gestion par mètre/coupon, variantes couleur et taille</w:t>
            </w:r>
          </w:p>
        </w:tc>
      </w:tr>
    </w:tbl>
    <w:p>
      <w:pPr>
        <w:spacing w:before="200"/>
      </w:pPr>
    </w:p>
    <w:p>
      <w:pPr>
        <w:pStyle w:val="Heading2"/>
        <w:spacing w:after="120" w:before="260"/>
      </w:pPr>
      <w:r>
        <w:rPr>
          <w:b/>
          <w:bCs/>
          <w:color w:val="1B2A4A"/>
          <w:sz w:val="24"/>
          <w:szCs w:val="24"/>
        </w:rPr>
        <w:t xml:space="preserve">4.2 Phasage du périmètre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600"/>
      </w:tblGrid>
      <w:tr>
        <w:trPr>
          <w:tblHeader/>
        </w:trPr>
        <w:tc>
          <w:tcPr>
            <w:tcW w:type="dxa" w:w="1600"/>
            <w:shd w:fill="1B2A4A" w:val="clear"/>
            <w:tcMar>
              <w:top w:type="dxa" w:w="100"/>
              <w:left w:type="dxa" w:w="120"/>
              <w:bottom w:type="dxa" w:w="100"/>
              <w:right w:type="dxa" w:w="120"/>
            </w:tcMar>
            <w:vAlign w:val="center"/>
          </w:tcPr>
          <w:p>
            <w:r>
              <w:rPr>
                <w:b/>
                <w:bCs/>
                <w:color w:val="FFFFFF"/>
                <w:sz w:val="20"/>
                <w:szCs w:val="20"/>
              </w:rPr>
              <w:t xml:space="preserve">Phase</w:t>
            </w:r>
          </w:p>
        </w:tc>
        <w:tc>
          <w:tcPr>
            <w:tcW w:type="dxa" w:w="6300"/>
            <w:shd w:fill="1B2A4A" w:val="clear"/>
            <w:tcMar>
              <w:top w:type="dxa" w:w="100"/>
              <w:left w:type="dxa" w:w="120"/>
              <w:bottom w:type="dxa" w:w="100"/>
              <w:right w:type="dxa" w:w="120"/>
            </w:tcMar>
            <w:vAlign w:val="center"/>
          </w:tcPr>
          <w:p>
            <w:r>
              <w:rPr>
                <w:b/>
                <w:bCs/>
                <w:color w:val="FFFFFF"/>
                <w:sz w:val="20"/>
                <w:szCs w:val="20"/>
              </w:rPr>
              <w:t xml:space="preserve">Contenu</w:t>
            </w:r>
          </w:p>
        </w:tc>
        <w:tc>
          <w:tcPr>
            <w:tcW w:type="dxa" w:w="1600"/>
            <w:shd w:fill="1B2A4A" w:val="clear"/>
            <w:tcMar>
              <w:top w:type="dxa" w:w="100"/>
              <w:left w:type="dxa" w:w="120"/>
              <w:bottom w:type="dxa" w:w="100"/>
              <w:right w:type="dxa" w:w="120"/>
            </w:tcMar>
            <w:vAlign w:val="center"/>
          </w:tcPr>
          <w:p>
            <w:r>
              <w:rPr>
                <w:b/>
                <w:bCs/>
                <w:color w:val="FFFFFF"/>
                <w:sz w:val="20"/>
                <w:szCs w:val="20"/>
              </w:rPr>
              <w:t xml:space="preserve">Statut</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V1 — MVP</w:t>
            </w:r>
          </w:p>
        </w:tc>
        <w:tc>
          <w:tcPr>
            <w:tcW w:type="dxa" w:w="6300"/>
            <w:tcMar>
              <w:top w:type="dxa" w:w="100"/>
              <w:left w:type="dxa" w:w="120"/>
              <w:bottom w:type="dxa" w:w="100"/>
              <w:right w:type="dxa" w:w="120"/>
            </w:tcMar>
            <w:vAlign w:val="center"/>
          </w:tcPr>
          <w:p>
            <w:r>
              <w:rPr>
                <w:b w:val="false"/>
                <w:bCs w:val="false"/>
                <w:color w:val="222222"/>
                <w:sz w:val="20"/>
                <w:szCs w:val="20"/>
              </w:rPr>
              <w:t xml:space="preserve">Noyau complet + 1 à 2 modules sectoriels (épicerie, pièces détachées) + comptabilité de base (journal, balance)</w:t>
            </w:r>
          </w:p>
        </w:tc>
        <w:tc>
          <w:tcPr>
            <w:tcW w:type="dxa" w:w="1600"/>
            <w:tcMar>
              <w:top w:type="dxa" w:w="100"/>
              <w:left w:type="dxa" w:w="120"/>
              <w:bottom w:type="dxa" w:w="100"/>
              <w:right w:type="dxa" w:w="120"/>
            </w:tcMar>
            <w:vAlign w:val="center"/>
          </w:tcPr>
          <w:p>
            <w:r>
              <w:rPr>
                <w:b w:val="false"/>
                <w:bCs w:val="false"/>
                <w:color w:val="222222"/>
                <w:sz w:val="20"/>
                <w:szCs w:val="20"/>
              </w:rPr>
              <w:t xml:space="preserve">Priorité immédiate</w:t>
            </w:r>
          </w:p>
        </w:tc>
      </w:tr>
      <w:tr>
        <w:tc>
          <w:tcPr>
            <w:tcW w:type="dxa" w:w="1600"/>
            <w:shd w:fill="F2F2F2" w:val="clear"/>
            <w:tcMar>
              <w:top w:type="dxa" w:w="100"/>
              <w:left w:type="dxa" w:w="120"/>
              <w:bottom w:type="dxa" w:w="100"/>
              <w:right w:type="dxa" w:w="120"/>
            </w:tcMar>
            <w:vAlign w:val="center"/>
          </w:tcPr>
          <w:p>
            <w:r>
              <w:rPr>
                <w:b w:val="false"/>
                <w:bCs w:val="false"/>
                <w:color w:val="222222"/>
                <w:sz w:val="20"/>
                <w:szCs w:val="20"/>
              </w:rPr>
              <w:t xml:space="preserve">V2</w:t>
            </w:r>
          </w:p>
        </w:tc>
        <w:tc>
          <w:tcPr>
            <w:tcW w:type="dxa" w:w="6300"/>
            <w:shd w:fill="F2F2F2" w:val="clear"/>
            <w:tcMar>
              <w:top w:type="dxa" w:w="100"/>
              <w:left w:type="dxa" w:w="120"/>
              <w:bottom w:type="dxa" w:w="100"/>
              <w:right w:type="dxa" w:w="120"/>
            </w:tcMar>
            <w:vAlign w:val="center"/>
          </w:tcPr>
          <w:p>
            <w:r>
              <w:rPr>
                <w:b w:val="false"/>
                <w:bCs w:val="false"/>
                <w:color w:val="222222"/>
                <w:sz w:val="20"/>
                <w:szCs w:val="20"/>
              </w:rPr>
              <w:t xml:space="preserve">Bilan et compte de résultat complets, modules sectoriels supplémentaires, synchronisation cloud optionnelle</w:t>
            </w:r>
          </w:p>
        </w:tc>
        <w:tc>
          <w:tcPr>
            <w:tcW w:type="dxa" w:w="1600"/>
            <w:shd w:fill="F2F2F2" w:val="clear"/>
            <w:tcMar>
              <w:top w:type="dxa" w:w="100"/>
              <w:left w:type="dxa" w:w="120"/>
              <w:bottom w:type="dxa" w:w="100"/>
              <w:right w:type="dxa" w:w="120"/>
            </w:tcMar>
            <w:vAlign w:val="center"/>
          </w:tcPr>
          <w:p>
            <w:r>
              <w:rPr>
                <w:b w:val="false"/>
                <w:bCs w:val="false"/>
                <w:color w:val="222222"/>
                <w:sz w:val="20"/>
                <w:szCs w:val="20"/>
              </w:rPr>
              <w:t xml:space="preserve">Après validation V1</w:t>
            </w:r>
          </w:p>
        </w:tc>
      </w:tr>
      <w:tr>
        <w:tc>
          <w:tcPr>
            <w:tcW w:type="dxa" w:w="1600"/>
            <w:tcMar>
              <w:top w:type="dxa" w:w="100"/>
              <w:left w:type="dxa" w:w="120"/>
              <w:bottom w:type="dxa" w:w="100"/>
              <w:right w:type="dxa" w:w="120"/>
            </w:tcMar>
            <w:vAlign w:val="center"/>
          </w:tcPr>
          <w:p>
            <w:r>
              <w:rPr>
                <w:b w:val="false"/>
                <w:bCs w:val="false"/>
                <w:color w:val="222222"/>
                <w:sz w:val="20"/>
                <w:szCs w:val="20"/>
              </w:rPr>
              <w:t xml:space="preserve">V3</w:t>
            </w:r>
          </w:p>
        </w:tc>
        <w:tc>
          <w:tcPr>
            <w:tcW w:type="dxa" w:w="6300"/>
            <w:tcMar>
              <w:top w:type="dxa" w:w="100"/>
              <w:left w:type="dxa" w:w="120"/>
              <w:bottom w:type="dxa" w:w="100"/>
              <w:right w:type="dxa" w:w="120"/>
            </w:tcMar>
            <w:vAlign w:val="center"/>
          </w:tcPr>
          <w:p>
            <w:r>
              <w:rPr>
                <w:b w:val="false"/>
                <w:bCs w:val="false"/>
                <w:color w:val="222222"/>
                <w:sz w:val="20"/>
                <w:szCs w:val="20"/>
              </w:rPr>
              <w:t xml:space="preserve">Version mobile/tablette (réutilisation du code Flutter), multi-boutiques, module pour comptables (gestion multi-clients)</w:t>
            </w:r>
          </w:p>
        </w:tc>
        <w:tc>
          <w:tcPr>
            <w:tcW w:type="dxa" w:w="1600"/>
            <w:tcMar>
              <w:top w:type="dxa" w:w="100"/>
              <w:left w:type="dxa" w:w="120"/>
              <w:bottom w:type="dxa" w:w="100"/>
              <w:right w:type="dxa" w:w="120"/>
            </w:tcMar>
            <w:vAlign w:val="center"/>
          </w:tcPr>
          <w:p>
            <w:r>
              <w:rPr>
                <w:b w:val="false"/>
                <w:bCs w:val="false"/>
                <w:color w:val="222222"/>
                <w:sz w:val="20"/>
                <w:szCs w:val="20"/>
              </w:rPr>
              <w:t xml:space="preserve">Vision long terme</w:t>
            </w:r>
          </w:p>
        </w:tc>
      </w:tr>
    </w:tbl>
    <w:p>
      <w:pPr>
        <w:pStyle w:val="Heading1"/>
        <w:pBdr>
          <w:bottom w:val="single" w:color="E07B1A" w:sz="12" w:space="4"/>
        </w:pBdr>
        <w:spacing w:after="200" w:before="400"/>
      </w:pPr>
      <w:r>
        <w:rPr>
          <w:b/>
          <w:bCs/>
          <w:color w:val="1B2A4A"/>
          <w:sz w:val="30"/>
          <w:szCs w:val="30"/>
        </w:rPr>
        <w:t xml:space="preserve">5. Spécifications fonctionnelles détaillées</w:t>
      </w:r>
    </w:p>
    <w:p>
      <w:pPr>
        <w:pStyle w:val="Heading2"/>
        <w:spacing w:after="120" w:before="260"/>
      </w:pPr>
      <w:r>
        <w:rPr>
          <w:b/>
          <w:bCs/>
          <w:color w:val="1B2A4A"/>
          <w:sz w:val="24"/>
          <w:szCs w:val="24"/>
        </w:rPr>
        <w:t xml:space="preserve">5.1 Module Ventes et encaissements</w:t>
      </w:r>
    </w:p>
    <w:p>
      <w:pPr>
        <w:pStyle w:val="ListParagraph"/>
        <w:numPr>
          <w:ilvl w:val="0"/>
          <w:numId w:val="2"/>
        </w:numPr>
        <w:spacing w:after="70"/>
      </w:pPr>
      <w:r>
        <w:rPr>
          <w:color w:val="222222"/>
          <w:sz w:val="21"/>
          <w:szCs w:val="21"/>
        </w:rPr>
        <w:t xml:space="preserve">Enregistrement rapide d'une vente (produit, quantité, prix, mode de paiement)</w:t>
      </w:r>
    </w:p>
    <w:p>
      <w:pPr>
        <w:pStyle w:val="ListParagraph"/>
        <w:numPr>
          <w:ilvl w:val="0"/>
          <w:numId w:val="2"/>
        </w:numPr>
        <w:spacing w:after="70"/>
      </w:pPr>
      <w:r>
        <w:rPr>
          <w:color w:val="222222"/>
          <w:sz w:val="21"/>
          <w:szCs w:val="21"/>
        </w:rPr>
        <w:t xml:space="preserve">Écran principal optimisé pour un usage à haute fréquence (plusieurs dizaines de ventes par jour)</w:t>
      </w:r>
    </w:p>
    <w:p>
      <w:pPr>
        <w:pStyle w:val="ListParagraph"/>
        <w:numPr>
          <w:ilvl w:val="0"/>
          <w:numId w:val="2"/>
        </w:numPr>
        <w:spacing w:after="70"/>
      </w:pPr>
      <w:r>
        <w:rPr>
          <w:color w:val="222222"/>
          <w:sz w:val="21"/>
          <w:szCs w:val="21"/>
        </w:rPr>
        <w:t xml:space="preserve">Génération de reçus imprimables au format PDF</w:t>
      </w:r>
    </w:p>
    <w:p>
      <w:pPr>
        <w:pStyle w:val="ListParagraph"/>
        <w:numPr>
          <w:ilvl w:val="0"/>
          <w:numId w:val="2"/>
        </w:numPr>
        <w:spacing w:after="70"/>
      </w:pPr>
      <w:r>
        <w:rPr>
          <w:color w:val="222222"/>
          <w:sz w:val="21"/>
          <w:szCs w:val="21"/>
        </w:rPr>
        <w:t xml:space="preserve">Historique des ventes consultable et filtrable par date, produit, client</w:t>
      </w:r>
    </w:p>
    <w:p>
      <w:pPr>
        <w:pStyle w:val="Heading2"/>
        <w:spacing w:after="120" w:before="260"/>
      </w:pPr>
      <w:r>
        <w:rPr>
          <w:b/>
          <w:bCs/>
          <w:color w:val="1B2A4A"/>
          <w:sz w:val="24"/>
          <w:szCs w:val="24"/>
        </w:rPr>
        <w:t xml:space="preserve">5.2 Module Stock</w:t>
      </w:r>
    </w:p>
    <w:p>
      <w:pPr>
        <w:pStyle w:val="ListParagraph"/>
        <w:numPr>
          <w:ilvl w:val="0"/>
          <w:numId w:val="2"/>
        </w:numPr>
        <w:spacing w:after="70"/>
      </w:pPr>
      <w:r>
        <w:rPr>
          <w:color w:val="222222"/>
          <w:sz w:val="21"/>
          <w:szCs w:val="21"/>
        </w:rPr>
        <w:t xml:space="preserve">Fiche produit (nom, référence, prix d'achat, prix de vente, quantité en stock)</w:t>
      </w:r>
    </w:p>
    <w:p>
      <w:pPr>
        <w:pStyle w:val="ListParagraph"/>
        <w:numPr>
          <w:ilvl w:val="0"/>
          <w:numId w:val="2"/>
        </w:numPr>
        <w:spacing w:after="70"/>
      </w:pPr>
      <w:r>
        <w:rPr>
          <w:color w:val="222222"/>
          <w:sz w:val="21"/>
          <w:szCs w:val="21"/>
        </w:rPr>
        <w:t xml:space="preserve">Alerte automatique en cas de stock faible ou de rupture</w:t>
      </w:r>
    </w:p>
    <w:p>
      <w:pPr>
        <w:pStyle w:val="ListParagraph"/>
        <w:numPr>
          <w:ilvl w:val="0"/>
          <w:numId w:val="2"/>
        </w:numPr>
        <w:spacing w:after="70"/>
      </w:pPr>
      <w:r>
        <w:rPr>
          <w:color w:val="222222"/>
          <w:sz w:val="21"/>
          <w:szCs w:val="21"/>
        </w:rPr>
        <w:t xml:space="preserve">Historique des entrées et sorties de stock</w:t>
      </w:r>
    </w:p>
    <w:p>
      <w:pPr>
        <w:pStyle w:val="ListParagraph"/>
        <w:numPr>
          <w:ilvl w:val="0"/>
          <w:numId w:val="2"/>
        </w:numPr>
        <w:spacing w:after="70"/>
      </w:pPr>
      <w:r>
        <w:rPr>
          <w:color w:val="222222"/>
          <w:sz w:val="21"/>
          <w:szCs w:val="21"/>
        </w:rPr>
        <w:t xml:space="preserve">Valorisation du stock (méthode à définir : coût moyen pondéré, conforme aux pratiques SYSCOHADA)</w:t>
      </w:r>
    </w:p>
    <w:p>
      <w:pPr>
        <w:pStyle w:val="Heading2"/>
        <w:spacing w:after="120" w:before="260"/>
      </w:pPr>
      <w:r>
        <w:rPr>
          <w:b/>
          <w:bCs/>
          <w:color w:val="1B2A4A"/>
          <w:sz w:val="24"/>
          <w:szCs w:val="24"/>
        </w:rPr>
        <w:t xml:space="preserve">5.3 Module Créances clients</w:t>
      </w:r>
    </w:p>
    <w:p>
      <w:pPr>
        <w:pStyle w:val="ListParagraph"/>
        <w:numPr>
          <w:ilvl w:val="0"/>
          <w:numId w:val="2"/>
        </w:numPr>
        <w:spacing w:after="70"/>
      </w:pPr>
      <w:r>
        <w:rPr>
          <w:color w:val="222222"/>
          <w:sz w:val="21"/>
          <w:szCs w:val="21"/>
        </w:rPr>
        <w:t xml:space="preserve">Enregistrement des ventes à crédit avec identification du client</w:t>
      </w:r>
    </w:p>
    <w:p>
      <w:pPr>
        <w:pStyle w:val="ListParagraph"/>
        <w:numPr>
          <w:ilvl w:val="0"/>
          <w:numId w:val="2"/>
        </w:numPr>
        <w:spacing w:after="70"/>
      </w:pPr>
      <w:r>
        <w:rPr>
          <w:color w:val="222222"/>
          <w:sz w:val="21"/>
          <w:szCs w:val="21"/>
        </w:rPr>
        <w:t xml:space="preserve">Suivi des remboursements partiels et soldes restants</w:t>
      </w:r>
    </w:p>
    <w:p>
      <w:pPr>
        <w:pStyle w:val="ListParagraph"/>
        <w:numPr>
          <w:ilvl w:val="0"/>
          <w:numId w:val="2"/>
        </w:numPr>
        <w:spacing w:after="70"/>
      </w:pPr>
      <w:r>
        <w:rPr>
          <w:color w:val="222222"/>
          <w:sz w:val="21"/>
          <w:szCs w:val="21"/>
        </w:rPr>
        <w:t xml:space="preserve">Rappels automatiques des créances arrivant à échéance</w:t>
      </w:r>
    </w:p>
    <w:p>
      <w:pPr>
        <w:pStyle w:val="Heading2"/>
        <w:spacing w:after="120" w:before="260"/>
      </w:pPr>
      <w:r>
        <w:rPr>
          <w:b/>
          <w:bCs/>
          <w:color w:val="1B2A4A"/>
          <w:sz w:val="24"/>
          <w:szCs w:val="24"/>
        </w:rPr>
        <w:t xml:space="preserve">5.4 Module Comptabilité SYSCOHADA</w:t>
      </w:r>
    </w:p>
    <w:p>
      <w:pPr>
        <w:pStyle w:val="ListParagraph"/>
        <w:numPr>
          <w:ilvl w:val="0"/>
          <w:numId w:val="2"/>
        </w:numPr>
        <w:spacing w:after="70"/>
      </w:pPr>
      <w:r>
        <w:rPr>
          <w:color w:val="222222"/>
          <w:sz w:val="21"/>
          <w:szCs w:val="21"/>
        </w:rPr>
        <w:t xml:space="preserve">Plan comptable SYSCOHADA révisé intégré (classes 1 à 8)</w:t>
      </w:r>
    </w:p>
    <w:p>
      <w:pPr>
        <w:pStyle w:val="ListParagraph"/>
        <w:numPr>
          <w:ilvl w:val="0"/>
          <w:numId w:val="2"/>
        </w:numPr>
        <w:spacing w:after="70"/>
      </w:pPr>
      <w:r>
        <w:rPr>
          <w:color w:val="222222"/>
          <w:sz w:val="21"/>
          <w:szCs w:val="21"/>
        </w:rPr>
        <w:t xml:space="preserve">Génération automatique des écritures comptables à partir des opérations de vente, d'achat et de stock</w:t>
      </w:r>
    </w:p>
    <w:p>
      <w:pPr>
        <w:pStyle w:val="ListParagraph"/>
        <w:numPr>
          <w:ilvl w:val="0"/>
          <w:numId w:val="2"/>
        </w:numPr>
        <w:spacing w:after="70"/>
      </w:pPr>
      <w:r>
        <w:rPr>
          <w:color w:val="222222"/>
          <w:sz w:val="21"/>
          <w:szCs w:val="21"/>
        </w:rPr>
        <w:t xml:space="preserve">Édition du journal comptable et du grand livre</w:t>
      </w:r>
    </w:p>
    <w:p>
      <w:pPr>
        <w:pStyle w:val="ListParagraph"/>
        <w:numPr>
          <w:ilvl w:val="0"/>
          <w:numId w:val="2"/>
        </w:numPr>
        <w:spacing w:after="70"/>
      </w:pPr>
      <w:r>
        <w:rPr>
          <w:color w:val="222222"/>
          <w:sz w:val="21"/>
          <w:szCs w:val="21"/>
        </w:rPr>
        <w:t xml:space="preserve">Édition de la balance générale</w:t>
      </w:r>
    </w:p>
    <w:p>
      <w:pPr>
        <w:pStyle w:val="ListParagraph"/>
        <w:numPr>
          <w:ilvl w:val="0"/>
          <w:numId w:val="2"/>
        </w:numPr>
        <w:spacing w:after="70"/>
      </w:pPr>
      <w:r>
        <w:rPr>
          <w:color w:val="222222"/>
          <w:sz w:val="21"/>
          <w:szCs w:val="21"/>
        </w:rPr>
        <w:t xml:space="preserve">Version ultérieure (V2) : bilan et compte de résultat conformes au système normal ou au système minimal de trésorerie, selon la taille de l'entreprise</w:t>
      </w:r>
    </w:p>
    <w:p>
      <w:pPr>
        <w:pStyle w:val="Heading2"/>
        <w:spacing w:after="120" w:before="260"/>
      </w:pPr>
      <w:r>
        <w:rPr>
          <w:b/>
          <w:bCs/>
          <w:color w:val="1B2A4A"/>
          <w:sz w:val="24"/>
          <w:szCs w:val="24"/>
        </w:rPr>
        <w:t xml:space="preserve">5.5 Module Intelligence artificielle</w:t>
      </w:r>
    </w:p>
    <w:p>
      <w:pPr>
        <w:pStyle w:val="ListParagraph"/>
        <w:numPr>
          <w:ilvl w:val="0"/>
          <w:numId w:val="2"/>
        </w:numPr>
        <w:spacing w:after="70"/>
      </w:pPr>
      <w:r>
        <w:rPr>
          <w:color w:val="222222"/>
          <w:sz w:val="21"/>
          <w:szCs w:val="21"/>
        </w:rPr>
        <w:t xml:space="preserve">Catégorisation automatique des transactions dans le compte SYSCOHADA approprié</w:t>
      </w:r>
    </w:p>
    <w:p>
      <w:pPr>
        <w:pStyle w:val="ListParagraph"/>
        <w:numPr>
          <w:ilvl w:val="0"/>
          <w:numId w:val="2"/>
        </w:numPr>
        <w:spacing w:after="70"/>
      </w:pPr>
      <w:r>
        <w:rPr>
          <w:color w:val="222222"/>
          <w:sz w:val="21"/>
          <w:szCs w:val="21"/>
        </w:rPr>
        <w:t xml:space="preserve">Détection d'anomalies (montants incohérents, comptes mal utilisés, écarts de stock suspects)</w:t>
      </w:r>
    </w:p>
    <w:p>
      <w:pPr>
        <w:pStyle w:val="ListParagraph"/>
        <w:numPr>
          <w:ilvl w:val="0"/>
          <w:numId w:val="2"/>
        </w:numPr>
        <w:spacing w:after="70"/>
      </w:pPr>
      <w:r>
        <w:rPr>
          <w:color w:val="222222"/>
          <w:sz w:val="21"/>
          <w:szCs w:val="21"/>
        </w:rPr>
        <w:t xml:space="preserve">Génération de synthèses en langage courant (« Ce mois-ci, vous avez vendu X, vos charges principales sont Y, votre marge est Z »)</w:t>
      </w:r>
    </w:p>
    <w:p>
      <w:pPr>
        <w:pStyle w:val="ListParagraph"/>
        <w:numPr>
          <w:ilvl w:val="0"/>
          <w:numId w:val="2"/>
        </w:numPr>
        <w:spacing w:after="70"/>
      </w:pPr>
      <w:r>
        <w:rPr>
          <w:color w:val="222222"/>
          <w:sz w:val="21"/>
          <w:szCs w:val="21"/>
        </w:rPr>
        <w:t xml:space="preserve">Assistant conversationnel pour répondre aux questions du commerçant sur ses propres données (« Combien je dois à mes fournisseurs ce mois-ci ? »)</w:t>
      </w:r>
    </w:p>
    <w:p>
      <w:pPr>
        <w:pStyle w:val="Heading2"/>
        <w:spacing w:after="120" w:before="260"/>
      </w:pPr>
      <w:r>
        <w:rPr>
          <w:b/>
          <w:bCs/>
          <w:color w:val="1B2A4A"/>
          <w:sz w:val="24"/>
          <w:szCs w:val="24"/>
        </w:rPr>
        <w:t xml:space="preserve">5.6 Tableaux de bord et rapports</w:t>
      </w:r>
    </w:p>
    <w:p>
      <w:pPr>
        <w:pStyle w:val="ListParagraph"/>
        <w:numPr>
          <w:ilvl w:val="0"/>
          <w:numId w:val="2"/>
        </w:numPr>
        <w:spacing w:after="70"/>
      </w:pPr>
      <w:r>
        <w:rPr>
          <w:color w:val="222222"/>
          <w:sz w:val="21"/>
          <w:szCs w:val="21"/>
        </w:rPr>
        <w:t xml:space="preserve">Rapport journalier : total des ventes, bénéfice estimé, créances en cours</w:t>
      </w:r>
    </w:p>
    <w:p>
      <w:pPr>
        <w:pStyle w:val="ListParagraph"/>
        <w:numPr>
          <w:ilvl w:val="0"/>
          <w:numId w:val="2"/>
        </w:numPr>
        <w:spacing w:after="70"/>
      </w:pPr>
      <w:r>
        <w:rPr>
          <w:color w:val="222222"/>
          <w:sz w:val="21"/>
          <w:szCs w:val="21"/>
        </w:rPr>
        <w:t xml:space="preserve">Rapport mensuel : chiffre d'affaires, charges, résultat, évolution du stock</w:t>
      </w:r>
    </w:p>
    <w:p>
      <w:pPr>
        <w:pStyle w:val="ListParagraph"/>
        <w:numPr>
          <w:ilvl w:val="0"/>
          <w:numId w:val="2"/>
        </w:numPr>
        <w:spacing w:after="70"/>
      </w:pPr>
      <w:r>
        <w:rPr>
          <w:color w:val="222222"/>
          <w:sz w:val="21"/>
          <w:szCs w:val="21"/>
        </w:rPr>
        <w:t xml:space="preserve">Export des rapports en PDF pour partage avec un comptable ou une banque</w:t>
      </w:r>
    </w:p>
    <w:p>
      <w:pPr>
        <w:pStyle w:val="Heading1"/>
        <w:pBdr>
          <w:bottom w:val="single" w:color="E07B1A" w:sz="12" w:space="4"/>
        </w:pBdr>
        <w:spacing w:after="200" w:before="400"/>
      </w:pPr>
      <w:r>
        <w:rPr>
          <w:b/>
          <w:bCs/>
          <w:color w:val="1B2A4A"/>
          <w:sz w:val="30"/>
          <w:szCs w:val="30"/>
        </w:rPr>
        <w:t xml:space="preserve">6. Spécifications techniques</w:t>
      </w:r>
    </w:p>
    <w:p>
      <w:pPr>
        <w:pStyle w:val="Heading2"/>
        <w:spacing w:after="120" w:before="260"/>
      </w:pPr>
      <w:r>
        <w:rPr>
          <w:b/>
          <w:bCs/>
          <w:color w:val="1B2A4A"/>
          <w:sz w:val="24"/>
          <w:szCs w:val="24"/>
        </w:rPr>
        <w:t xml:space="preserve">6.1 Stack technologique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rPr>
          <w:tblHeader/>
        </w:trPr>
        <w:tc>
          <w:tcPr>
            <w:tcW w:type="dxa" w:w="2300"/>
            <w:shd w:fill="1B2A4A" w:val="clear"/>
            <w:tcMar>
              <w:top w:type="dxa" w:w="100"/>
              <w:left w:type="dxa" w:w="120"/>
              <w:bottom w:type="dxa" w:w="100"/>
              <w:right w:type="dxa" w:w="120"/>
            </w:tcMar>
            <w:vAlign w:val="center"/>
          </w:tcPr>
          <w:p>
            <w:r>
              <w:rPr>
                <w:b/>
                <w:bCs/>
                <w:color w:val="FFFFFF"/>
                <w:sz w:val="20"/>
                <w:szCs w:val="20"/>
              </w:rPr>
              <w:t xml:space="preserve">Composant</w:t>
            </w:r>
          </w:p>
        </w:tc>
        <w:tc>
          <w:tcPr>
            <w:tcW w:type="dxa" w:w="3300"/>
            <w:shd w:fill="1B2A4A" w:val="clear"/>
            <w:tcMar>
              <w:top w:type="dxa" w:w="100"/>
              <w:left w:type="dxa" w:w="120"/>
              <w:bottom w:type="dxa" w:w="100"/>
              <w:right w:type="dxa" w:w="120"/>
            </w:tcMar>
            <w:vAlign w:val="center"/>
          </w:tcPr>
          <w:p>
            <w:r>
              <w:rPr>
                <w:b/>
                <w:bCs/>
                <w:color w:val="FFFFFF"/>
                <w:sz w:val="20"/>
                <w:szCs w:val="20"/>
              </w:rPr>
              <w:t xml:space="preserve">Choix technique</w:t>
            </w:r>
          </w:p>
        </w:tc>
        <w:tc>
          <w:tcPr>
            <w:tcW w:type="dxa" w:w="3900"/>
            <w:shd w:fill="1B2A4A" w:val="clear"/>
            <w:tcMar>
              <w:top w:type="dxa" w:w="100"/>
              <w:left w:type="dxa" w:w="120"/>
              <w:bottom w:type="dxa" w:w="100"/>
              <w:right w:type="dxa" w:w="120"/>
            </w:tcMar>
            <w:vAlign w:val="center"/>
          </w:tcPr>
          <w:p>
            <w:r>
              <w:rPr>
                <w:b/>
                <w:bCs/>
                <w:color w:val="FFFFFF"/>
                <w:sz w:val="20"/>
                <w:szCs w:val="20"/>
              </w:rPr>
              <w:t xml:space="preserve">Justification</w:t>
            </w:r>
          </w:p>
        </w:tc>
      </w:tr>
      <w:tr>
        <w:tc>
          <w:tcPr>
            <w:tcW w:type="dxa" w:w="2300"/>
            <w:tcMar>
              <w:top w:type="dxa" w:w="100"/>
              <w:left w:type="dxa" w:w="120"/>
              <w:bottom w:type="dxa" w:w="100"/>
              <w:right w:type="dxa" w:w="120"/>
            </w:tcMar>
            <w:vAlign w:val="center"/>
          </w:tcPr>
          <w:p>
            <w:r>
              <w:rPr>
                <w:b w:val="false"/>
                <w:bCs w:val="false"/>
                <w:color w:val="222222"/>
                <w:sz w:val="20"/>
                <w:szCs w:val="20"/>
              </w:rPr>
              <w:t xml:space="preserve">Framework applicatif</w:t>
            </w:r>
          </w:p>
        </w:tc>
        <w:tc>
          <w:tcPr>
            <w:tcW w:type="dxa" w:w="3300"/>
            <w:tcMar>
              <w:top w:type="dxa" w:w="100"/>
              <w:left w:type="dxa" w:w="120"/>
              <w:bottom w:type="dxa" w:w="100"/>
              <w:right w:type="dxa" w:w="120"/>
            </w:tcMar>
            <w:vAlign w:val="center"/>
          </w:tcPr>
          <w:p>
            <w:r>
              <w:rPr>
                <w:b w:val="false"/>
                <w:bCs w:val="false"/>
                <w:color w:val="222222"/>
                <w:sz w:val="20"/>
                <w:szCs w:val="20"/>
              </w:rPr>
              <w:t xml:space="preserve">Flutter Desktop</w:t>
            </w:r>
          </w:p>
        </w:tc>
        <w:tc>
          <w:tcPr>
            <w:tcW w:type="dxa" w:w="3900"/>
            <w:tcMar>
              <w:top w:type="dxa" w:w="100"/>
              <w:left w:type="dxa" w:w="120"/>
              <w:bottom w:type="dxa" w:w="100"/>
              <w:right w:type="dxa" w:w="120"/>
            </w:tcMar>
            <w:vAlign w:val="center"/>
          </w:tcPr>
          <w:p>
            <w:r>
              <w:rPr>
                <w:b w:val="false"/>
                <w:bCs w:val="false"/>
                <w:color w:val="222222"/>
                <w:sz w:val="20"/>
                <w:szCs w:val="20"/>
              </w:rPr>
              <w:t xml:space="preserve">Maîtrisé par le porteur de projet, base de code réutilisable pour une future version mobile</w:t>
            </w:r>
          </w:p>
        </w:tc>
      </w:tr>
      <w:tr>
        <w:tc>
          <w:tcPr>
            <w:tcW w:type="dxa" w:w="2300"/>
            <w:shd w:fill="F2F2F2" w:val="clear"/>
            <w:tcMar>
              <w:top w:type="dxa" w:w="100"/>
              <w:left w:type="dxa" w:w="120"/>
              <w:bottom w:type="dxa" w:w="100"/>
              <w:right w:type="dxa" w:w="120"/>
            </w:tcMar>
            <w:vAlign w:val="center"/>
          </w:tcPr>
          <w:p>
            <w:r>
              <w:rPr>
                <w:b w:val="false"/>
                <w:bCs w:val="false"/>
                <w:color w:val="222222"/>
                <w:sz w:val="20"/>
                <w:szCs w:val="20"/>
              </w:rPr>
              <w:t xml:space="preserve">Base de données locale</w:t>
            </w:r>
          </w:p>
        </w:tc>
        <w:tc>
          <w:tcPr>
            <w:tcW w:type="dxa" w:w="3300"/>
            <w:shd w:fill="F2F2F2" w:val="clear"/>
            <w:tcMar>
              <w:top w:type="dxa" w:w="100"/>
              <w:left w:type="dxa" w:w="120"/>
              <w:bottom w:type="dxa" w:w="100"/>
              <w:right w:type="dxa" w:w="120"/>
            </w:tcMar>
            <w:vAlign w:val="center"/>
          </w:tcPr>
          <w:p>
            <w:r>
              <w:rPr>
                <w:b w:val="false"/>
                <w:bCs w:val="false"/>
                <w:color w:val="222222"/>
                <w:sz w:val="20"/>
                <w:szCs w:val="20"/>
              </w:rPr>
              <w:t xml:space="preserve">SQLite via sqflite_common_ffi ou Drift</w:t>
            </w:r>
          </w:p>
        </w:tc>
        <w:tc>
          <w:tcPr>
            <w:tcW w:type="dxa" w:w="3900"/>
            <w:shd w:fill="F2F2F2" w:val="clear"/>
            <w:tcMar>
              <w:top w:type="dxa" w:w="100"/>
              <w:left w:type="dxa" w:w="120"/>
              <w:bottom w:type="dxa" w:w="100"/>
              <w:right w:type="dxa" w:w="120"/>
            </w:tcMar>
            <w:vAlign w:val="center"/>
          </w:tcPr>
          <w:p>
            <w:r>
              <w:rPr>
                <w:b w:val="false"/>
                <w:bCs w:val="false"/>
                <w:color w:val="222222"/>
                <w:sz w:val="20"/>
                <w:szCs w:val="20"/>
              </w:rPr>
              <w:t xml:space="preserve">Fonctionnement 100% hors-ligne, fiable sur connexion instable ou absente</w:t>
            </w:r>
          </w:p>
        </w:tc>
      </w:tr>
      <w:tr>
        <w:tc>
          <w:tcPr>
            <w:tcW w:type="dxa" w:w="2300"/>
            <w:tcMar>
              <w:top w:type="dxa" w:w="100"/>
              <w:left w:type="dxa" w:w="120"/>
              <w:bottom w:type="dxa" w:w="100"/>
              <w:right w:type="dxa" w:w="120"/>
            </w:tcMar>
            <w:vAlign w:val="center"/>
          </w:tcPr>
          <w:p>
            <w:r>
              <w:rPr>
                <w:b w:val="false"/>
                <w:bCs w:val="false"/>
                <w:color w:val="222222"/>
                <w:sz w:val="20"/>
                <w:szCs w:val="20"/>
              </w:rPr>
              <w:t xml:space="preserve">Gestion d'état</w:t>
            </w:r>
          </w:p>
        </w:tc>
        <w:tc>
          <w:tcPr>
            <w:tcW w:type="dxa" w:w="3300"/>
            <w:tcMar>
              <w:top w:type="dxa" w:w="100"/>
              <w:left w:type="dxa" w:w="120"/>
              <w:bottom w:type="dxa" w:w="100"/>
              <w:right w:type="dxa" w:w="120"/>
            </w:tcMar>
            <w:vAlign w:val="center"/>
          </w:tcPr>
          <w:p>
            <w:r>
              <w:rPr>
                <w:b w:val="false"/>
                <w:bCs w:val="false"/>
                <w:color w:val="222222"/>
                <w:sz w:val="20"/>
                <w:szCs w:val="20"/>
              </w:rPr>
              <w:t xml:space="preserve">Riverpod ou Provider</w:t>
            </w:r>
          </w:p>
        </w:tc>
        <w:tc>
          <w:tcPr>
            <w:tcW w:type="dxa" w:w="3900"/>
            <w:tcMar>
              <w:top w:type="dxa" w:w="100"/>
              <w:left w:type="dxa" w:w="120"/>
              <w:bottom w:type="dxa" w:w="100"/>
              <w:right w:type="dxa" w:w="120"/>
            </w:tcMar>
            <w:vAlign w:val="center"/>
          </w:tcPr>
          <w:p>
            <w:r>
              <w:rPr>
                <w:b w:val="false"/>
                <w:bCs w:val="false"/>
                <w:color w:val="222222"/>
                <w:sz w:val="20"/>
                <w:szCs w:val="20"/>
              </w:rPr>
              <w:t xml:space="preserve">Simplicité de maintenance pour un développement en solo ou petite équipe</w:t>
            </w:r>
          </w:p>
        </w:tc>
      </w:tr>
      <w:tr>
        <w:tc>
          <w:tcPr>
            <w:tcW w:type="dxa" w:w="2300"/>
            <w:shd w:fill="F2F2F2" w:val="clear"/>
            <w:tcMar>
              <w:top w:type="dxa" w:w="100"/>
              <w:left w:type="dxa" w:w="120"/>
              <w:bottom w:type="dxa" w:w="100"/>
              <w:right w:type="dxa" w:w="120"/>
            </w:tcMar>
            <w:vAlign w:val="center"/>
          </w:tcPr>
          <w:p>
            <w:r>
              <w:rPr>
                <w:b w:val="false"/>
                <w:bCs w:val="false"/>
                <w:color w:val="222222"/>
                <w:sz w:val="20"/>
                <w:szCs w:val="20"/>
              </w:rPr>
              <w:t xml:space="preserve">Génération de documents</w:t>
            </w:r>
          </w:p>
        </w:tc>
        <w:tc>
          <w:tcPr>
            <w:tcW w:type="dxa" w:w="3300"/>
            <w:shd w:fill="F2F2F2" w:val="clear"/>
            <w:tcMar>
              <w:top w:type="dxa" w:w="100"/>
              <w:left w:type="dxa" w:w="120"/>
              <w:bottom w:type="dxa" w:w="100"/>
              <w:right w:type="dxa" w:w="120"/>
            </w:tcMar>
            <w:vAlign w:val="center"/>
          </w:tcPr>
          <w:p>
            <w:r>
              <w:rPr>
                <w:b w:val="false"/>
                <w:bCs w:val="false"/>
                <w:color w:val="222222"/>
                <w:sz w:val="20"/>
                <w:szCs w:val="20"/>
              </w:rPr>
              <w:t xml:space="preserve">Package pdf (Dart)</w:t>
            </w:r>
          </w:p>
        </w:tc>
        <w:tc>
          <w:tcPr>
            <w:tcW w:type="dxa" w:w="3900"/>
            <w:shd w:fill="F2F2F2" w:val="clear"/>
            <w:tcMar>
              <w:top w:type="dxa" w:w="100"/>
              <w:left w:type="dxa" w:w="120"/>
              <w:bottom w:type="dxa" w:w="100"/>
              <w:right w:type="dxa" w:w="120"/>
            </w:tcMar>
            <w:vAlign w:val="center"/>
          </w:tcPr>
          <w:p>
            <w:r>
              <w:rPr>
                <w:b w:val="false"/>
                <w:bCs w:val="false"/>
                <w:color w:val="222222"/>
                <w:sz w:val="20"/>
                <w:szCs w:val="20"/>
              </w:rPr>
              <w:t xml:space="preserve">Reçus, factures et rapports imprimables</w:t>
            </w:r>
          </w:p>
        </w:tc>
      </w:tr>
      <w:tr>
        <w:tc>
          <w:tcPr>
            <w:tcW w:type="dxa" w:w="2300"/>
            <w:tcMar>
              <w:top w:type="dxa" w:w="100"/>
              <w:left w:type="dxa" w:w="120"/>
              <w:bottom w:type="dxa" w:w="100"/>
              <w:right w:type="dxa" w:w="120"/>
            </w:tcMar>
            <w:vAlign w:val="center"/>
          </w:tcPr>
          <w:p>
            <w:r>
              <w:rPr>
                <w:b w:val="false"/>
                <w:bCs w:val="false"/>
                <w:color w:val="222222"/>
                <w:sz w:val="20"/>
                <w:szCs w:val="20"/>
              </w:rPr>
              <w:t xml:space="preserve">Intelligence artificielle</w:t>
            </w:r>
          </w:p>
        </w:tc>
        <w:tc>
          <w:tcPr>
            <w:tcW w:type="dxa" w:w="3300"/>
            <w:tcMar>
              <w:top w:type="dxa" w:w="100"/>
              <w:left w:type="dxa" w:w="120"/>
              <w:bottom w:type="dxa" w:w="100"/>
              <w:right w:type="dxa" w:w="120"/>
            </w:tcMar>
            <w:vAlign w:val="center"/>
          </w:tcPr>
          <w:p>
            <w:r>
              <w:rPr>
                <w:b w:val="false"/>
                <w:bCs w:val="false"/>
                <w:color w:val="222222"/>
                <w:sz w:val="20"/>
                <w:szCs w:val="20"/>
              </w:rPr>
              <w:t xml:space="preserve">Appel à une API IA existante (ex. Claude, GPT) via requêtes HTTP</w:t>
            </w:r>
          </w:p>
        </w:tc>
        <w:tc>
          <w:tcPr>
            <w:tcW w:type="dxa" w:w="3900"/>
            <w:tcMar>
              <w:top w:type="dxa" w:w="100"/>
              <w:left w:type="dxa" w:w="120"/>
              <w:bottom w:type="dxa" w:w="100"/>
              <w:right w:type="dxa" w:w="120"/>
            </w:tcMar>
            <w:vAlign w:val="center"/>
          </w:tcPr>
          <w:p>
            <w:r>
              <w:rPr>
                <w:b w:val="false"/>
                <w:bCs w:val="false"/>
                <w:color w:val="222222"/>
                <w:sz w:val="20"/>
                <w:szCs w:val="20"/>
              </w:rPr>
              <w:t xml:space="preserve">Évite l'entraînement d'un modèle propriétaire ; permet un développement rapide</w:t>
            </w:r>
          </w:p>
        </w:tc>
      </w:tr>
      <w:tr>
        <w:tc>
          <w:tcPr>
            <w:tcW w:type="dxa" w:w="2300"/>
            <w:shd w:fill="F2F2F2" w:val="clear"/>
            <w:tcMar>
              <w:top w:type="dxa" w:w="100"/>
              <w:left w:type="dxa" w:w="120"/>
              <w:bottom w:type="dxa" w:w="100"/>
              <w:right w:type="dxa" w:w="120"/>
            </w:tcMar>
            <w:vAlign w:val="center"/>
          </w:tcPr>
          <w:p>
            <w:r>
              <w:rPr>
                <w:b w:val="false"/>
                <w:bCs w:val="false"/>
                <w:color w:val="222222"/>
                <w:sz w:val="20"/>
                <w:szCs w:val="20"/>
              </w:rPr>
              <w:t xml:space="preserve">Synchronisation (V2)</w:t>
            </w:r>
          </w:p>
        </w:tc>
        <w:tc>
          <w:tcPr>
            <w:tcW w:type="dxa" w:w="3300"/>
            <w:shd w:fill="F2F2F2" w:val="clear"/>
            <w:tcMar>
              <w:top w:type="dxa" w:w="100"/>
              <w:left w:type="dxa" w:w="120"/>
              <w:bottom w:type="dxa" w:w="100"/>
              <w:right w:type="dxa" w:w="120"/>
            </w:tcMar>
            <w:vAlign w:val="center"/>
          </w:tcPr>
          <w:p>
            <w:r>
              <w:rPr>
                <w:b w:val="false"/>
                <w:bCs w:val="false"/>
                <w:color w:val="222222"/>
                <w:sz w:val="20"/>
                <w:szCs w:val="20"/>
              </w:rPr>
              <w:t xml:space="preserve">Backend Node.js + PostgreSQL, à définir</w:t>
            </w:r>
          </w:p>
        </w:tc>
        <w:tc>
          <w:tcPr>
            <w:tcW w:type="dxa" w:w="3900"/>
            <w:shd w:fill="F2F2F2" w:val="clear"/>
            <w:tcMar>
              <w:top w:type="dxa" w:w="100"/>
              <w:left w:type="dxa" w:w="120"/>
              <w:bottom w:type="dxa" w:w="100"/>
              <w:right w:type="dxa" w:w="120"/>
            </w:tcMar>
            <w:vAlign w:val="center"/>
          </w:tcPr>
          <w:p>
            <w:r>
              <w:rPr>
                <w:b w:val="false"/>
                <w:bCs w:val="false"/>
                <w:color w:val="222222"/>
                <w:sz w:val="20"/>
                <w:szCs w:val="20"/>
              </w:rPr>
              <w:t xml:space="preserve">Pour la sauvegarde cloud optionnelle et le multi-poste</w:t>
            </w:r>
          </w:p>
        </w:tc>
      </w:tr>
    </w:tbl>
    <w:p>
      <w:pPr>
        <w:spacing w:before="200"/>
      </w:pPr>
    </w:p>
    <w:p>
      <w:pPr>
        <w:pStyle w:val="Heading2"/>
        <w:spacing w:after="120" w:before="260"/>
      </w:pPr>
      <w:r>
        <w:rPr>
          <w:b/>
          <w:bCs/>
          <w:color w:val="1B2A4A"/>
          <w:sz w:val="24"/>
          <w:szCs w:val="24"/>
        </w:rPr>
        <w:t xml:space="preserve">6.2 Plateformes cibles</w:t>
      </w:r>
    </w:p>
    <w:p>
      <w:pPr>
        <w:pStyle w:val="ListParagraph"/>
        <w:numPr>
          <w:ilvl w:val="0"/>
          <w:numId w:val="2"/>
        </w:numPr>
        <w:spacing w:after="70"/>
      </w:pPr>
      <w:r>
        <w:rPr>
          <w:color w:val="222222"/>
          <w:sz w:val="21"/>
          <w:szCs w:val="21"/>
        </w:rPr>
        <w:t xml:space="preserve">Windows : plateforme prioritaire (la plus répandue chez les commerçants équipés d'un ordinateur)</w:t>
      </w:r>
    </w:p>
    <w:p>
      <w:pPr>
        <w:pStyle w:val="ListParagraph"/>
        <w:numPr>
          <w:ilvl w:val="0"/>
          <w:numId w:val="2"/>
        </w:numPr>
        <w:spacing w:after="70"/>
      </w:pPr>
      <w:r>
        <w:rPr>
          <w:color w:val="222222"/>
          <w:sz w:val="21"/>
          <w:szCs w:val="21"/>
        </w:rPr>
        <w:t xml:space="preserve">Linux et macOS : support natif de Flutter, disponible sans effort de développement supplémentaire significatif</w:t>
      </w:r>
    </w:p>
    <w:p>
      <w:pPr>
        <w:pStyle w:val="Heading2"/>
        <w:spacing w:after="120" w:before="260"/>
      </w:pPr>
      <w:r>
        <w:rPr>
          <w:b/>
          <w:bCs/>
          <w:color w:val="1B2A4A"/>
          <w:sz w:val="24"/>
          <w:szCs w:val="24"/>
        </w:rPr>
        <w:t xml:space="preserve">6.3 Contraintes techniques</w:t>
      </w:r>
    </w:p>
    <w:p>
      <w:pPr>
        <w:pStyle w:val="ListParagraph"/>
        <w:numPr>
          <w:ilvl w:val="0"/>
          <w:numId w:val="2"/>
        </w:numPr>
        <w:spacing w:after="70"/>
      </w:pPr>
      <w:r>
        <w:rPr>
          <w:color w:val="222222"/>
          <w:sz w:val="21"/>
          <w:szCs w:val="21"/>
        </w:rPr>
        <w:t xml:space="preserve">Fonctionnement garanti sans connexion internet pour toutes les fonctions du noyau (ventes, stock, créances, comptabilité)</w:t>
      </w:r>
    </w:p>
    <w:p>
      <w:pPr>
        <w:pStyle w:val="ListParagraph"/>
        <w:numPr>
          <w:ilvl w:val="0"/>
          <w:numId w:val="2"/>
        </w:numPr>
        <w:spacing w:after="70"/>
      </w:pPr>
      <w:r>
        <w:rPr>
          <w:color w:val="222222"/>
          <w:sz w:val="21"/>
          <w:szCs w:val="21"/>
        </w:rPr>
        <w:t xml:space="preserve">La fonctionnalité IA nécessite une connexion internet ponctuelle ; le logiciel doit rester pleinement utilisable en son absence</w:t>
      </w:r>
    </w:p>
    <w:p>
      <w:pPr>
        <w:pStyle w:val="ListParagraph"/>
        <w:numPr>
          <w:ilvl w:val="0"/>
          <w:numId w:val="2"/>
        </w:numPr>
        <w:spacing w:after="70"/>
      </w:pPr>
      <w:r>
        <w:rPr>
          <w:color w:val="222222"/>
          <w:sz w:val="21"/>
          <w:szCs w:val="21"/>
        </w:rPr>
        <w:t xml:space="preserve">Compatibilité avec du matériel modeste (ordinateurs de comptoir plus anciens, RAM limitée)</w:t>
      </w:r>
    </w:p>
    <w:p>
      <w:pPr>
        <w:pStyle w:val="ListParagraph"/>
        <w:numPr>
          <w:ilvl w:val="0"/>
          <w:numId w:val="2"/>
        </w:numPr>
        <w:spacing w:after="70"/>
      </w:pPr>
      <w:r>
        <w:rPr>
          <w:color w:val="222222"/>
          <w:sz w:val="21"/>
          <w:szCs w:val="21"/>
        </w:rPr>
        <w:t xml:space="preserve">Sauvegarde locale automatique de la base de données pour éviter toute perte de données</w:t>
      </w:r>
    </w:p>
    <w:p>
      <w:pPr>
        <w:pStyle w:val="Heading1"/>
        <w:pBdr>
          <w:bottom w:val="single" w:color="E07B1A" w:sz="12" w:space="4"/>
        </w:pBdr>
        <w:spacing w:after="200" w:before="400"/>
      </w:pPr>
      <w:r>
        <w:rPr>
          <w:b/>
          <w:bCs/>
          <w:color w:val="1B2A4A"/>
          <w:sz w:val="30"/>
          <w:szCs w:val="30"/>
        </w:rPr>
        <w:t xml:space="preserve">7. Modèle économique</w:t>
      </w:r>
    </w:p>
    <w:p>
      <w:pPr>
        <w:pStyle w:val="Heading2"/>
        <w:spacing w:after="120" w:before="260"/>
      </w:pPr>
      <w:r>
        <w:rPr>
          <w:b/>
          <w:bCs/>
          <w:color w:val="1B2A4A"/>
          <w:sz w:val="24"/>
          <w:szCs w:val="24"/>
        </w:rPr>
        <w:t xml:space="preserve">7.1 Structure tarifaire proposée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000"/>
      </w:tblGrid>
      <w:tr>
        <w:trPr>
          <w:tblHeader/>
        </w:trPr>
        <w:tc>
          <w:tcPr>
            <w:tcW w:type="dxa" w:w="2800"/>
            <w:shd w:fill="1B2A4A" w:val="clear"/>
            <w:tcMar>
              <w:top w:type="dxa" w:w="100"/>
              <w:left w:type="dxa" w:w="120"/>
              <w:bottom w:type="dxa" w:w="100"/>
              <w:right w:type="dxa" w:w="120"/>
            </w:tcMar>
            <w:vAlign w:val="center"/>
          </w:tcPr>
          <w:p>
            <w:r>
              <w:rPr>
                <w:b/>
                <w:bCs/>
                <w:color w:val="FFFFFF"/>
                <w:sz w:val="20"/>
                <w:szCs w:val="20"/>
              </w:rPr>
              <w:t xml:space="preserve">Offre</w:t>
            </w:r>
          </w:p>
        </w:tc>
        <w:tc>
          <w:tcPr>
            <w:tcW w:type="dxa" w:w="4700"/>
            <w:shd w:fill="1B2A4A" w:val="clear"/>
            <w:tcMar>
              <w:top w:type="dxa" w:w="100"/>
              <w:left w:type="dxa" w:w="120"/>
              <w:bottom w:type="dxa" w:w="100"/>
              <w:right w:type="dxa" w:w="120"/>
            </w:tcMar>
            <w:vAlign w:val="center"/>
          </w:tcPr>
          <w:p>
            <w:r>
              <w:rPr>
                <w:b/>
                <w:bCs/>
                <w:color w:val="FFFFFF"/>
                <w:sz w:val="20"/>
                <w:szCs w:val="20"/>
              </w:rPr>
              <w:t xml:space="preserve">Contenu</w:t>
            </w:r>
          </w:p>
        </w:tc>
        <w:tc>
          <w:tcPr>
            <w:tcW w:type="dxa" w:w="2000"/>
            <w:shd w:fill="1B2A4A" w:val="clear"/>
            <w:tcMar>
              <w:top w:type="dxa" w:w="100"/>
              <w:left w:type="dxa" w:w="120"/>
              <w:bottom w:type="dxa" w:w="100"/>
              <w:right w:type="dxa" w:w="120"/>
            </w:tcMar>
            <w:vAlign w:val="center"/>
          </w:tcPr>
          <w:p>
            <w:r>
              <w:rPr>
                <w:b/>
                <w:bCs/>
                <w:color w:val="FFFFFF"/>
                <w:sz w:val="20"/>
                <w:szCs w:val="20"/>
              </w:rPr>
              <w:t xml:space="preserve">Tarif indicatif</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Installation initiale</w:t>
            </w:r>
          </w:p>
        </w:tc>
        <w:tc>
          <w:tcPr>
            <w:tcW w:type="dxa" w:w="4700"/>
            <w:tcMar>
              <w:top w:type="dxa" w:w="100"/>
              <w:left w:type="dxa" w:w="120"/>
              <w:bottom w:type="dxa" w:w="100"/>
              <w:right w:type="dxa" w:w="120"/>
            </w:tcMar>
            <w:vAlign w:val="center"/>
          </w:tcPr>
          <w:p>
            <w:r>
              <w:rPr>
                <w:b w:val="false"/>
                <w:bCs w:val="false"/>
                <w:color w:val="222222"/>
                <w:sz w:val="20"/>
                <w:szCs w:val="20"/>
              </w:rPr>
              <w:t xml:space="preserve">Installation, configuration du secteur d'activité, formation de base du commerçant</w:t>
            </w:r>
          </w:p>
        </w:tc>
        <w:tc>
          <w:tcPr>
            <w:tcW w:type="dxa" w:w="2000"/>
            <w:tcMar>
              <w:top w:type="dxa" w:w="100"/>
              <w:left w:type="dxa" w:w="120"/>
              <w:bottom w:type="dxa" w:w="100"/>
              <w:right w:type="dxa" w:w="120"/>
            </w:tcMar>
            <w:vAlign w:val="center"/>
          </w:tcPr>
          <w:p>
            <w:r>
              <w:rPr>
                <w:b w:val="false"/>
                <w:bCs w:val="false"/>
                <w:color w:val="222222"/>
                <w:sz w:val="20"/>
                <w:szCs w:val="20"/>
              </w:rPr>
              <w:t xml:space="preserve">150 000 – 300 000 GNF (unique)</w:t>
            </w:r>
          </w:p>
        </w:tc>
      </w:tr>
      <w:tr>
        <w:tc>
          <w:tcPr>
            <w:tcW w:type="dxa" w:w="2800"/>
            <w:shd w:fill="F2F2F2" w:val="clear"/>
            <w:tcMar>
              <w:top w:type="dxa" w:w="100"/>
              <w:left w:type="dxa" w:w="120"/>
              <w:bottom w:type="dxa" w:w="100"/>
              <w:right w:type="dxa" w:w="120"/>
            </w:tcMar>
            <w:vAlign w:val="center"/>
          </w:tcPr>
          <w:p>
            <w:r>
              <w:rPr>
                <w:b w:val="false"/>
                <w:bCs w:val="false"/>
                <w:color w:val="222222"/>
                <w:sz w:val="20"/>
                <w:szCs w:val="20"/>
              </w:rPr>
              <w:t xml:space="preserve">Abonnement Essentiel</w:t>
            </w:r>
          </w:p>
        </w:tc>
        <w:tc>
          <w:tcPr>
            <w:tcW w:type="dxa" w:w="4700"/>
            <w:shd w:fill="F2F2F2" w:val="clear"/>
            <w:tcMar>
              <w:top w:type="dxa" w:w="100"/>
              <w:left w:type="dxa" w:w="120"/>
              <w:bottom w:type="dxa" w:w="100"/>
              <w:right w:type="dxa" w:w="120"/>
            </w:tcMar>
            <w:vAlign w:val="center"/>
          </w:tcPr>
          <w:p>
            <w:r>
              <w:rPr>
                <w:b w:val="false"/>
                <w:bCs w:val="false"/>
                <w:color w:val="222222"/>
                <w:sz w:val="20"/>
                <w:szCs w:val="20"/>
              </w:rPr>
              <w:t xml:space="preserve">Support, mises à jour, module comptabilité de base</w:t>
            </w:r>
          </w:p>
        </w:tc>
        <w:tc>
          <w:tcPr>
            <w:tcW w:type="dxa" w:w="2000"/>
            <w:shd w:fill="F2F2F2" w:val="clear"/>
            <w:tcMar>
              <w:top w:type="dxa" w:w="100"/>
              <w:left w:type="dxa" w:w="120"/>
              <w:bottom w:type="dxa" w:w="100"/>
              <w:right w:type="dxa" w:w="120"/>
            </w:tcMar>
            <w:vAlign w:val="center"/>
          </w:tcPr>
          <w:p>
            <w:r>
              <w:rPr>
                <w:b w:val="false"/>
                <w:bCs w:val="false"/>
                <w:color w:val="222222"/>
                <w:sz w:val="20"/>
                <w:szCs w:val="20"/>
              </w:rPr>
              <w:t xml:space="preserve">10 000 – 15 000 GNF / mois</w:t>
            </w:r>
          </w:p>
        </w:tc>
      </w:tr>
      <w:tr>
        <w:tc>
          <w:tcPr>
            <w:tcW w:type="dxa" w:w="2800"/>
            <w:tcMar>
              <w:top w:type="dxa" w:w="100"/>
              <w:left w:type="dxa" w:w="120"/>
              <w:bottom w:type="dxa" w:w="100"/>
              <w:right w:type="dxa" w:w="120"/>
            </w:tcMar>
            <w:vAlign w:val="center"/>
          </w:tcPr>
          <w:p>
            <w:r>
              <w:rPr>
                <w:b w:val="false"/>
                <w:bCs w:val="false"/>
                <w:color w:val="222222"/>
                <w:sz w:val="20"/>
                <w:szCs w:val="20"/>
              </w:rPr>
              <w:t xml:space="preserve">Abonnement Pro</w:t>
            </w:r>
          </w:p>
        </w:tc>
        <w:tc>
          <w:tcPr>
            <w:tcW w:type="dxa" w:w="4700"/>
            <w:tcMar>
              <w:top w:type="dxa" w:w="100"/>
              <w:left w:type="dxa" w:w="120"/>
              <w:bottom w:type="dxa" w:w="100"/>
              <w:right w:type="dxa" w:w="120"/>
            </w:tcMar>
            <w:vAlign w:val="center"/>
          </w:tcPr>
          <w:p>
            <w:r>
              <w:rPr>
                <w:b w:val="false"/>
                <w:bCs w:val="false"/>
                <w:color w:val="222222"/>
                <w:sz w:val="20"/>
                <w:szCs w:val="20"/>
              </w:rPr>
              <w:t xml:space="preserve">Toutes fonctionnalités + assistant IA + rapports avancés</w:t>
            </w:r>
          </w:p>
        </w:tc>
        <w:tc>
          <w:tcPr>
            <w:tcW w:type="dxa" w:w="2000"/>
            <w:tcMar>
              <w:top w:type="dxa" w:w="100"/>
              <w:left w:type="dxa" w:w="120"/>
              <w:bottom w:type="dxa" w:w="100"/>
              <w:right w:type="dxa" w:w="120"/>
            </w:tcMar>
            <w:vAlign w:val="center"/>
          </w:tcPr>
          <w:p>
            <w:r>
              <w:rPr>
                <w:b w:val="false"/>
                <w:bCs w:val="false"/>
                <w:color w:val="222222"/>
                <w:sz w:val="20"/>
                <w:szCs w:val="20"/>
              </w:rPr>
              <w:t xml:space="preserve">25 000 – 40 000 GNF / mois</w:t>
            </w:r>
          </w:p>
        </w:tc>
      </w:tr>
    </w:tbl>
    <w:p>
      <w:pPr>
        <w:spacing w:before="200"/>
      </w:pPr>
    </w:p>
    <w:p>
      <w:pPr>
        <w:pStyle w:val="Heading2"/>
        <w:spacing w:after="120" w:before="260"/>
      </w:pPr>
      <w:r>
        <w:rPr>
          <w:b/>
          <w:bCs/>
          <w:color w:val="1B2A4A"/>
          <w:sz w:val="24"/>
          <w:szCs w:val="24"/>
        </w:rPr>
        <w:t xml:space="preserve">7.2 Stratégie de lancement</w:t>
      </w:r>
    </w:p>
    <w:p>
      <w:pPr>
        <w:pStyle w:val="ListParagraph"/>
        <w:numPr>
          <w:ilvl w:val="0"/>
          <w:numId w:val="2"/>
        </w:numPr>
        <w:spacing w:after="70"/>
      </w:pPr>
      <w:r>
        <w:rPr>
          <w:color w:val="222222"/>
          <w:sz w:val="21"/>
          <w:szCs w:val="21"/>
        </w:rPr>
        <w:t xml:space="preserve">Phase pilote gratuite (1 mois) avec 1 à 3 boutiques test, en échange de retours d'usage détaillés</w:t>
      </w:r>
    </w:p>
    <w:p>
      <w:pPr>
        <w:pStyle w:val="ListParagraph"/>
        <w:numPr>
          <w:ilvl w:val="0"/>
          <w:numId w:val="2"/>
        </w:numPr>
        <w:spacing w:after="70"/>
      </w:pPr>
      <w:r>
        <w:rPr>
          <w:color w:val="222222"/>
          <w:sz w:val="21"/>
          <w:szCs w:val="21"/>
        </w:rPr>
        <w:t xml:space="preserve">Utilisation des cas pilotes comme référence commerciale pour démarcher de nouveaux clients</w:t>
      </w:r>
    </w:p>
    <w:p>
      <w:pPr>
        <w:pStyle w:val="ListParagraph"/>
        <w:numPr>
          <w:ilvl w:val="0"/>
          <w:numId w:val="2"/>
        </w:numPr>
        <w:spacing w:after="70"/>
      </w:pPr>
      <w:r>
        <w:rPr>
          <w:color w:val="222222"/>
          <w:sz w:val="21"/>
          <w:szCs w:val="21"/>
        </w:rPr>
        <w:t xml:space="preserve">Acompte à l'installation dès le second client, pour financer le développement des modules suivants</w:t>
      </w:r>
    </w:p>
    <w:p>
      <w:pPr>
        <w:pStyle w:val="ListParagraph"/>
        <w:numPr>
          <w:ilvl w:val="0"/>
          <w:numId w:val="2"/>
        </w:numPr>
        <w:spacing w:after="70"/>
      </w:pPr>
      <w:r>
        <w:rPr>
          <w:color w:val="222222"/>
          <w:sz w:val="21"/>
          <w:szCs w:val="21"/>
        </w:rPr>
        <w:t xml:space="preserve">Ciblage initial : Conakry (densité commerciale) et Labé (ancrage local du porteur de projet)</w:t>
      </w:r>
    </w:p>
    <w:p>
      <w:pPr>
        <w:pStyle w:val="Heading1"/>
        <w:pBdr>
          <w:bottom w:val="single" w:color="E07B1A" w:sz="12" w:space="4"/>
        </w:pBdr>
        <w:spacing w:after="200" w:before="400"/>
      </w:pPr>
      <w:r>
        <w:rPr>
          <w:b/>
          <w:bCs/>
          <w:color w:val="1B2A4A"/>
          <w:sz w:val="30"/>
          <w:szCs w:val="30"/>
        </w:rPr>
        <w:t xml:space="preserve">8. Feuille de route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900"/>
      </w:tblGrid>
      <w:tr>
        <w:trPr>
          <w:tblHeader/>
        </w:trPr>
        <w:tc>
          <w:tcPr>
            <w:tcW w:type="dxa" w:w="2200"/>
            <w:shd w:fill="1B2A4A" w:val="clear"/>
            <w:tcMar>
              <w:top w:type="dxa" w:w="100"/>
              <w:left w:type="dxa" w:w="120"/>
              <w:bottom w:type="dxa" w:w="100"/>
              <w:right w:type="dxa" w:w="120"/>
            </w:tcMar>
            <w:vAlign w:val="center"/>
          </w:tcPr>
          <w:p>
            <w:r>
              <w:rPr>
                <w:b/>
                <w:bCs/>
                <w:color w:val="FFFFFF"/>
                <w:sz w:val="20"/>
                <w:szCs w:val="20"/>
              </w:rPr>
              <w:t xml:space="preserve">Étape</w:t>
            </w:r>
          </w:p>
        </w:tc>
        <w:tc>
          <w:tcPr>
            <w:tcW w:type="dxa" w:w="5400"/>
            <w:shd w:fill="1B2A4A" w:val="clear"/>
            <w:tcMar>
              <w:top w:type="dxa" w:w="100"/>
              <w:left w:type="dxa" w:w="120"/>
              <w:bottom w:type="dxa" w:w="100"/>
              <w:right w:type="dxa" w:w="120"/>
            </w:tcMar>
            <w:vAlign w:val="center"/>
          </w:tcPr>
          <w:p>
            <w:r>
              <w:rPr>
                <w:b/>
                <w:bCs/>
                <w:color w:val="FFFFFF"/>
                <w:sz w:val="20"/>
                <w:szCs w:val="20"/>
              </w:rPr>
              <w:t xml:space="preserve">Contenu</w:t>
            </w:r>
          </w:p>
        </w:tc>
        <w:tc>
          <w:tcPr>
            <w:tcW w:type="dxa" w:w="1900"/>
            <w:shd w:fill="1B2A4A" w:val="clear"/>
            <w:tcMar>
              <w:top w:type="dxa" w:w="100"/>
              <w:left w:type="dxa" w:w="120"/>
              <w:bottom w:type="dxa" w:w="100"/>
              <w:right w:type="dxa" w:w="120"/>
            </w:tcMar>
            <w:vAlign w:val="center"/>
          </w:tcPr>
          <w:p>
            <w:r>
              <w:rPr>
                <w:b/>
                <w:bCs/>
                <w:color w:val="FFFFFF"/>
                <w:sz w:val="20"/>
                <w:szCs w:val="20"/>
              </w:rPr>
              <w:t xml:space="preserve">Durée estimée</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1. Cadrage</w:t>
            </w:r>
          </w:p>
        </w:tc>
        <w:tc>
          <w:tcPr>
            <w:tcW w:type="dxa" w:w="5400"/>
            <w:tcMar>
              <w:top w:type="dxa" w:w="100"/>
              <w:left w:type="dxa" w:w="120"/>
              <w:bottom w:type="dxa" w:w="100"/>
              <w:right w:type="dxa" w:w="120"/>
            </w:tcMar>
            <w:vAlign w:val="center"/>
          </w:tcPr>
          <w:p>
            <w:r>
              <w:rPr>
                <w:b w:val="false"/>
                <w:bCs w:val="false"/>
                <w:color w:val="222222"/>
                <w:sz w:val="20"/>
                <w:szCs w:val="20"/>
              </w:rPr>
              <w:t xml:space="preserve">Validation du cahier des charges, choix définitif du premier secteur cible, maquettes d'écrans</w:t>
            </w:r>
          </w:p>
        </w:tc>
        <w:tc>
          <w:tcPr>
            <w:tcW w:type="dxa" w:w="1900"/>
            <w:tcMar>
              <w:top w:type="dxa" w:w="100"/>
              <w:left w:type="dxa" w:w="120"/>
              <w:bottom w:type="dxa" w:w="100"/>
              <w:right w:type="dxa" w:w="120"/>
            </w:tcMar>
            <w:vAlign w:val="center"/>
          </w:tcPr>
          <w:p>
            <w:r>
              <w:rPr>
                <w:b w:val="false"/>
                <w:bCs w:val="false"/>
                <w:color w:val="222222"/>
                <w:sz w:val="20"/>
                <w:szCs w:val="20"/>
              </w:rPr>
              <w:t xml:space="preserve">1 à 2 semaines</w:t>
            </w:r>
          </w:p>
        </w:tc>
      </w:tr>
      <w:tr>
        <w:tc>
          <w:tcPr>
            <w:tcW w:type="dxa" w:w="2200"/>
            <w:shd w:fill="F2F2F2" w:val="clear"/>
            <w:tcMar>
              <w:top w:type="dxa" w:w="100"/>
              <w:left w:type="dxa" w:w="120"/>
              <w:bottom w:type="dxa" w:w="100"/>
              <w:right w:type="dxa" w:w="120"/>
            </w:tcMar>
            <w:vAlign w:val="center"/>
          </w:tcPr>
          <w:p>
            <w:r>
              <w:rPr>
                <w:b w:val="false"/>
                <w:bCs w:val="false"/>
                <w:color w:val="222222"/>
                <w:sz w:val="20"/>
                <w:szCs w:val="20"/>
              </w:rPr>
              <w:t xml:space="preserve">2. Développement du noyau</w:t>
            </w:r>
          </w:p>
        </w:tc>
        <w:tc>
          <w:tcPr>
            <w:tcW w:type="dxa" w:w="5400"/>
            <w:shd w:fill="F2F2F2" w:val="clear"/>
            <w:tcMar>
              <w:top w:type="dxa" w:w="100"/>
              <w:left w:type="dxa" w:w="120"/>
              <w:bottom w:type="dxa" w:w="100"/>
              <w:right w:type="dxa" w:w="120"/>
            </w:tcMar>
            <w:vAlign w:val="center"/>
          </w:tcPr>
          <w:p>
            <w:r>
              <w:rPr>
                <w:b w:val="false"/>
                <w:bCs w:val="false"/>
                <w:color w:val="222222"/>
                <w:sz w:val="20"/>
                <w:szCs w:val="20"/>
              </w:rPr>
              <w:t xml:space="preserve">Ventes, stock, créances clients, base de données locale</w:t>
            </w:r>
          </w:p>
        </w:tc>
        <w:tc>
          <w:tcPr>
            <w:tcW w:type="dxa" w:w="1900"/>
            <w:shd w:fill="F2F2F2" w:val="clear"/>
            <w:tcMar>
              <w:top w:type="dxa" w:w="100"/>
              <w:left w:type="dxa" w:w="120"/>
              <w:bottom w:type="dxa" w:w="100"/>
              <w:right w:type="dxa" w:w="120"/>
            </w:tcMar>
            <w:vAlign w:val="center"/>
          </w:tcPr>
          <w:p>
            <w:r>
              <w:rPr>
                <w:b w:val="false"/>
                <w:bCs w:val="false"/>
                <w:color w:val="222222"/>
                <w:sz w:val="20"/>
                <w:szCs w:val="20"/>
              </w:rPr>
              <w:t xml:space="preserve">3 à 5 semaines</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3. Module comptabilité de base</w:t>
            </w:r>
          </w:p>
        </w:tc>
        <w:tc>
          <w:tcPr>
            <w:tcW w:type="dxa" w:w="5400"/>
            <w:tcMar>
              <w:top w:type="dxa" w:w="100"/>
              <w:left w:type="dxa" w:w="120"/>
              <w:bottom w:type="dxa" w:w="100"/>
              <w:right w:type="dxa" w:w="120"/>
            </w:tcMar>
            <w:vAlign w:val="center"/>
          </w:tcPr>
          <w:p>
            <w:r>
              <w:rPr>
                <w:b w:val="false"/>
                <w:bCs w:val="false"/>
                <w:color w:val="222222"/>
                <w:sz w:val="20"/>
                <w:szCs w:val="20"/>
              </w:rPr>
              <w:t xml:space="preserve">Plan comptable SYSCOHADA, écritures automatiques, journal, balance</w:t>
            </w:r>
          </w:p>
        </w:tc>
        <w:tc>
          <w:tcPr>
            <w:tcW w:type="dxa" w:w="1900"/>
            <w:tcMar>
              <w:top w:type="dxa" w:w="100"/>
              <w:left w:type="dxa" w:w="120"/>
              <w:bottom w:type="dxa" w:w="100"/>
              <w:right w:type="dxa" w:w="120"/>
            </w:tcMar>
            <w:vAlign w:val="center"/>
          </w:tcPr>
          <w:p>
            <w:r>
              <w:rPr>
                <w:b w:val="false"/>
                <w:bCs w:val="false"/>
                <w:color w:val="222222"/>
                <w:sz w:val="20"/>
                <w:szCs w:val="20"/>
              </w:rPr>
              <w:t xml:space="preserve">3 à 4 semaines</w:t>
            </w:r>
          </w:p>
        </w:tc>
      </w:tr>
      <w:tr>
        <w:tc>
          <w:tcPr>
            <w:tcW w:type="dxa" w:w="2200"/>
            <w:shd w:fill="F2F2F2" w:val="clear"/>
            <w:tcMar>
              <w:top w:type="dxa" w:w="100"/>
              <w:left w:type="dxa" w:w="120"/>
              <w:bottom w:type="dxa" w:w="100"/>
              <w:right w:type="dxa" w:w="120"/>
            </w:tcMar>
            <w:vAlign w:val="center"/>
          </w:tcPr>
          <w:p>
            <w:r>
              <w:rPr>
                <w:b w:val="false"/>
                <w:bCs w:val="false"/>
                <w:color w:val="222222"/>
                <w:sz w:val="20"/>
                <w:szCs w:val="20"/>
              </w:rPr>
              <w:t xml:space="preserve">4. Intégration IA</w:t>
            </w:r>
          </w:p>
        </w:tc>
        <w:tc>
          <w:tcPr>
            <w:tcW w:type="dxa" w:w="5400"/>
            <w:shd w:fill="F2F2F2" w:val="clear"/>
            <w:tcMar>
              <w:top w:type="dxa" w:w="100"/>
              <w:left w:type="dxa" w:w="120"/>
              <w:bottom w:type="dxa" w:w="100"/>
              <w:right w:type="dxa" w:w="120"/>
            </w:tcMar>
            <w:vAlign w:val="center"/>
          </w:tcPr>
          <w:p>
            <w:r>
              <w:rPr>
                <w:b w:val="false"/>
                <w:bCs w:val="false"/>
                <w:color w:val="222222"/>
                <w:sz w:val="20"/>
                <w:szCs w:val="20"/>
              </w:rPr>
              <w:t xml:space="preserve">Catégorisation automatique, rapports en langage simple</w:t>
            </w:r>
          </w:p>
        </w:tc>
        <w:tc>
          <w:tcPr>
            <w:tcW w:type="dxa" w:w="1900"/>
            <w:shd w:fill="F2F2F2" w:val="clear"/>
            <w:tcMar>
              <w:top w:type="dxa" w:w="100"/>
              <w:left w:type="dxa" w:w="120"/>
              <w:bottom w:type="dxa" w:w="100"/>
              <w:right w:type="dxa" w:w="120"/>
            </w:tcMar>
            <w:vAlign w:val="center"/>
          </w:tcPr>
          <w:p>
            <w:r>
              <w:rPr>
                <w:b w:val="false"/>
                <w:bCs w:val="false"/>
                <w:color w:val="222222"/>
                <w:sz w:val="20"/>
                <w:szCs w:val="20"/>
              </w:rPr>
              <w:t xml:space="preserve">2 à 3 semaines</w:t>
            </w:r>
          </w:p>
        </w:tc>
      </w:tr>
      <w:tr>
        <w:tc>
          <w:tcPr>
            <w:tcW w:type="dxa" w:w="2200"/>
            <w:tcMar>
              <w:top w:type="dxa" w:w="100"/>
              <w:left w:type="dxa" w:w="120"/>
              <w:bottom w:type="dxa" w:w="100"/>
              <w:right w:type="dxa" w:w="120"/>
            </w:tcMar>
            <w:vAlign w:val="center"/>
          </w:tcPr>
          <w:p>
            <w:r>
              <w:rPr>
                <w:b w:val="false"/>
                <w:bCs w:val="false"/>
                <w:color w:val="222222"/>
                <w:sz w:val="20"/>
                <w:szCs w:val="20"/>
              </w:rPr>
              <w:t xml:space="preserve">5. Test pilote</w:t>
            </w:r>
          </w:p>
        </w:tc>
        <w:tc>
          <w:tcPr>
            <w:tcW w:type="dxa" w:w="5400"/>
            <w:tcMar>
              <w:top w:type="dxa" w:w="100"/>
              <w:left w:type="dxa" w:w="120"/>
              <w:bottom w:type="dxa" w:w="100"/>
              <w:right w:type="dxa" w:w="120"/>
            </w:tcMar>
            <w:vAlign w:val="center"/>
          </w:tcPr>
          <w:p>
            <w:r>
              <w:rPr>
                <w:b w:val="false"/>
                <w:bCs w:val="false"/>
                <w:color w:val="222222"/>
                <w:sz w:val="20"/>
                <w:szCs w:val="20"/>
              </w:rPr>
              <w:t xml:space="preserve">Déploiement chez 1 à 3 boutiques test, corrections</w:t>
            </w:r>
          </w:p>
        </w:tc>
        <w:tc>
          <w:tcPr>
            <w:tcW w:type="dxa" w:w="1900"/>
            <w:tcMar>
              <w:top w:type="dxa" w:w="100"/>
              <w:left w:type="dxa" w:w="120"/>
              <w:bottom w:type="dxa" w:w="100"/>
              <w:right w:type="dxa" w:w="120"/>
            </w:tcMar>
            <w:vAlign w:val="center"/>
          </w:tcPr>
          <w:p>
            <w:r>
              <w:rPr>
                <w:b w:val="false"/>
                <w:bCs w:val="false"/>
                <w:color w:val="222222"/>
                <w:sz w:val="20"/>
                <w:szCs w:val="20"/>
              </w:rPr>
              <w:t xml:space="preserve">2 à 4 semaines</w:t>
            </w:r>
          </w:p>
        </w:tc>
      </w:tr>
      <w:tr>
        <w:tc>
          <w:tcPr>
            <w:tcW w:type="dxa" w:w="2200"/>
            <w:shd w:fill="F2F2F2" w:val="clear"/>
            <w:tcMar>
              <w:top w:type="dxa" w:w="100"/>
              <w:left w:type="dxa" w:w="120"/>
              <w:bottom w:type="dxa" w:w="100"/>
              <w:right w:type="dxa" w:w="120"/>
            </w:tcMar>
            <w:vAlign w:val="center"/>
          </w:tcPr>
          <w:p>
            <w:r>
              <w:rPr>
                <w:b w:val="false"/>
                <w:bCs w:val="false"/>
                <w:color w:val="222222"/>
                <w:sz w:val="20"/>
                <w:szCs w:val="20"/>
              </w:rPr>
              <w:t xml:space="preserve">6. Lancement commercial</w:t>
            </w:r>
          </w:p>
        </w:tc>
        <w:tc>
          <w:tcPr>
            <w:tcW w:type="dxa" w:w="5400"/>
            <w:shd w:fill="F2F2F2" w:val="clear"/>
            <w:tcMar>
              <w:top w:type="dxa" w:w="100"/>
              <w:left w:type="dxa" w:w="120"/>
              <w:bottom w:type="dxa" w:w="100"/>
              <w:right w:type="dxa" w:w="120"/>
            </w:tcMar>
            <w:vAlign w:val="center"/>
          </w:tcPr>
          <w:p>
            <w:r>
              <w:rPr>
                <w:b w:val="false"/>
                <w:bCs w:val="false"/>
                <w:color w:val="222222"/>
                <w:sz w:val="20"/>
                <w:szCs w:val="20"/>
              </w:rPr>
              <w:t xml:space="preserve">Démarchage élargi, facturation des nouveaux clients</w:t>
            </w:r>
          </w:p>
        </w:tc>
        <w:tc>
          <w:tcPr>
            <w:tcW w:type="dxa" w:w="1900"/>
            <w:shd w:fill="F2F2F2" w:val="clear"/>
            <w:tcMar>
              <w:top w:type="dxa" w:w="100"/>
              <w:left w:type="dxa" w:w="120"/>
              <w:bottom w:type="dxa" w:w="100"/>
              <w:right w:type="dxa" w:w="120"/>
            </w:tcMar>
            <w:vAlign w:val="center"/>
          </w:tcPr>
          <w:p>
            <w:r>
              <w:rPr>
                <w:b w:val="false"/>
                <w:bCs w:val="false"/>
                <w:color w:val="222222"/>
                <w:sz w:val="20"/>
                <w:szCs w:val="20"/>
              </w:rPr>
              <w:t xml:space="preserve">Continu</w:t>
            </w:r>
          </w:p>
        </w:tc>
      </w:tr>
    </w:tbl>
    <w:p>
      <w:pPr>
        <w:pStyle w:val="Heading1"/>
        <w:pBdr>
          <w:bottom w:val="single" w:color="E07B1A" w:sz="12" w:space="4"/>
        </w:pBdr>
        <w:spacing w:after="200" w:before="400"/>
      </w:pPr>
      <w:r>
        <w:rPr>
          <w:b/>
          <w:bCs/>
          <w:color w:val="1B2A4A"/>
          <w:sz w:val="30"/>
          <w:szCs w:val="30"/>
        </w:rPr>
        <w:t xml:space="preserve">9. Risques et points de vigilance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5700"/>
      </w:tblGrid>
      <w:tr>
        <w:trPr>
          <w:tblHeader/>
        </w:trPr>
        <w:tc>
          <w:tcPr>
            <w:tcW w:type="dxa" w:w="3800"/>
            <w:shd w:fill="1B2A4A" w:val="clear"/>
            <w:tcMar>
              <w:top w:type="dxa" w:w="100"/>
              <w:left w:type="dxa" w:w="120"/>
              <w:bottom w:type="dxa" w:w="100"/>
              <w:right w:type="dxa" w:w="120"/>
            </w:tcMar>
            <w:vAlign w:val="center"/>
          </w:tcPr>
          <w:p>
            <w:r>
              <w:rPr>
                <w:b/>
                <w:bCs/>
                <w:color w:val="FFFFFF"/>
                <w:sz w:val="20"/>
                <w:szCs w:val="20"/>
              </w:rPr>
              <w:t xml:space="preserve">Risque</w:t>
            </w:r>
          </w:p>
        </w:tc>
        <w:tc>
          <w:tcPr>
            <w:tcW w:type="dxa" w:w="5700"/>
            <w:shd w:fill="1B2A4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Complexité excessive de la V1 (trop de fonctionnalités dès le départ)</w:t>
            </w:r>
          </w:p>
        </w:tc>
        <w:tc>
          <w:tcPr>
            <w:tcW w:type="dxa" w:w="5700"/>
            <w:tcMar>
              <w:top w:type="dxa" w:w="100"/>
              <w:left w:type="dxa" w:w="120"/>
              <w:bottom w:type="dxa" w:w="100"/>
              <w:right w:type="dxa" w:w="120"/>
            </w:tcMar>
            <w:vAlign w:val="center"/>
          </w:tcPr>
          <w:p>
            <w:r>
              <w:rPr>
                <w:b w:val="false"/>
                <w:bCs w:val="false"/>
                <w:color w:val="222222"/>
                <w:sz w:val="20"/>
                <w:szCs w:val="20"/>
              </w:rPr>
              <w:t xml:space="preserve">Limiter strictement la V1 au noyau + comptabilité de base ; reporter bilan/compte de résultat complets en V2</w:t>
            </w:r>
          </w:p>
        </w:tc>
      </w:tr>
      <w:tr>
        <w:tc>
          <w:tcPr>
            <w:tcW w:type="dxa" w:w="3800"/>
            <w:shd w:fill="F2F2F2" w:val="clear"/>
            <w:tcMar>
              <w:top w:type="dxa" w:w="100"/>
              <w:left w:type="dxa" w:w="120"/>
              <w:bottom w:type="dxa" w:w="100"/>
              <w:right w:type="dxa" w:w="120"/>
            </w:tcMar>
            <w:vAlign w:val="center"/>
          </w:tcPr>
          <w:p>
            <w:r>
              <w:rPr>
                <w:b w:val="false"/>
                <w:bCs w:val="false"/>
                <w:color w:val="222222"/>
                <w:sz w:val="20"/>
                <w:szCs w:val="20"/>
              </w:rPr>
              <w:t xml:space="preserve">Résistance au changement des commerçants habitués au cahier papier</w:t>
            </w:r>
          </w:p>
        </w:tc>
        <w:tc>
          <w:tcPr>
            <w:tcW w:type="dxa" w:w="5700"/>
            <w:shd w:fill="F2F2F2" w:val="clear"/>
            <w:tcMar>
              <w:top w:type="dxa" w:w="100"/>
              <w:left w:type="dxa" w:w="120"/>
              <w:bottom w:type="dxa" w:w="100"/>
              <w:right w:type="dxa" w:w="120"/>
            </w:tcMar>
            <w:vAlign w:val="center"/>
          </w:tcPr>
          <w:p>
            <w:r>
              <w:rPr>
                <w:b w:val="false"/>
                <w:bCs w:val="false"/>
                <w:color w:val="222222"/>
                <w:sz w:val="20"/>
                <w:szCs w:val="20"/>
              </w:rPr>
              <w:t xml:space="preserve">Phase pilote gratuite, formation simple, interface volontairement épurée</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Fiabilité juridique de la comptabilité générée</w:t>
            </w:r>
          </w:p>
        </w:tc>
        <w:tc>
          <w:tcPr>
            <w:tcW w:type="dxa" w:w="5700"/>
            <w:tcMar>
              <w:top w:type="dxa" w:w="100"/>
              <w:left w:type="dxa" w:w="120"/>
              <w:bottom w:type="dxa" w:w="100"/>
              <w:right w:type="dxa" w:w="120"/>
            </w:tcMar>
            <w:vAlign w:val="center"/>
          </w:tcPr>
          <w:p>
            <w:r>
              <w:rPr>
                <w:b w:val="false"/>
                <w:bCs w:val="false"/>
                <w:color w:val="222222"/>
                <w:sz w:val="20"/>
                <w:szCs w:val="20"/>
              </w:rPr>
              <w:t xml:space="preserve">Faire valider les écritures et états par un comptable ou expert SYSCOHADA avant commercialisation</w:t>
            </w:r>
          </w:p>
        </w:tc>
      </w:tr>
      <w:tr>
        <w:tc>
          <w:tcPr>
            <w:tcW w:type="dxa" w:w="3800"/>
            <w:shd w:fill="F2F2F2" w:val="clear"/>
            <w:tcMar>
              <w:top w:type="dxa" w:w="100"/>
              <w:left w:type="dxa" w:w="120"/>
              <w:bottom w:type="dxa" w:w="100"/>
              <w:right w:type="dxa" w:w="120"/>
            </w:tcMar>
            <w:vAlign w:val="center"/>
          </w:tcPr>
          <w:p>
            <w:r>
              <w:rPr>
                <w:b w:val="false"/>
                <w:bCs w:val="false"/>
                <w:color w:val="222222"/>
                <w:sz w:val="20"/>
                <w:szCs w:val="20"/>
              </w:rPr>
              <w:t xml:space="preserve">Dépendance à une API IA externe (coût, disponibilité)</w:t>
            </w:r>
          </w:p>
        </w:tc>
        <w:tc>
          <w:tcPr>
            <w:tcW w:type="dxa" w:w="5700"/>
            <w:shd w:fill="F2F2F2" w:val="clear"/>
            <w:tcMar>
              <w:top w:type="dxa" w:w="100"/>
              <w:left w:type="dxa" w:w="120"/>
              <w:bottom w:type="dxa" w:w="100"/>
              <w:right w:type="dxa" w:w="120"/>
            </w:tcMar>
            <w:vAlign w:val="center"/>
          </w:tcPr>
          <w:p>
            <w:r>
              <w:rPr>
                <w:b w:val="false"/>
                <w:bCs w:val="false"/>
                <w:color w:val="222222"/>
                <w:sz w:val="20"/>
                <w:szCs w:val="20"/>
              </w:rPr>
              <w:t xml:space="preserve">Garantir un fonctionnement complet du logiciel sans l'IA ; IA en option activable</w:t>
            </w:r>
          </w:p>
        </w:tc>
      </w:tr>
      <w:tr>
        <w:tc>
          <w:tcPr>
            <w:tcW w:type="dxa" w:w="3800"/>
            <w:tcMar>
              <w:top w:type="dxa" w:w="100"/>
              <w:left w:type="dxa" w:w="120"/>
              <w:bottom w:type="dxa" w:w="100"/>
              <w:right w:type="dxa" w:w="120"/>
            </w:tcMar>
            <w:vAlign w:val="center"/>
          </w:tcPr>
          <w:p>
            <w:r>
              <w:rPr>
                <w:b w:val="false"/>
                <w:bCs w:val="false"/>
                <w:color w:val="222222"/>
                <w:sz w:val="20"/>
                <w:szCs w:val="20"/>
              </w:rPr>
              <w:t xml:space="preserve">Charge de développement solo</w:t>
            </w:r>
          </w:p>
        </w:tc>
        <w:tc>
          <w:tcPr>
            <w:tcW w:type="dxa" w:w="5700"/>
            <w:tcMar>
              <w:top w:type="dxa" w:w="100"/>
              <w:left w:type="dxa" w:w="120"/>
              <w:bottom w:type="dxa" w:w="100"/>
              <w:right w:type="dxa" w:w="120"/>
            </w:tcMar>
            <w:vAlign w:val="center"/>
          </w:tcPr>
          <w:p>
            <w:r>
              <w:rPr>
                <w:b w:val="false"/>
                <w:bCs w:val="false"/>
                <w:color w:val="222222"/>
                <w:sz w:val="20"/>
                <w:szCs w:val="20"/>
              </w:rPr>
              <w:t xml:space="preserve">Prioriser rigoureusement le périmètre V1 ; envisager l'appui ponctuel d'un pair développeur</w:t>
            </w:r>
          </w:p>
        </w:tc>
      </w:tr>
    </w:tbl>
    <w:p>
      <w:pPr>
        <w:pStyle w:val="Heading1"/>
        <w:pBdr>
          <w:bottom w:val="single" w:color="E07B1A" w:sz="12" w:space="4"/>
        </w:pBdr>
        <w:spacing w:after="200" w:before="400"/>
      </w:pPr>
      <w:r>
        <w:rPr>
          <w:b/>
          <w:bCs/>
          <w:color w:val="1B2A4A"/>
          <w:sz w:val="30"/>
          <w:szCs w:val="30"/>
        </w:rPr>
        <w:t xml:space="preserve">10. Critères de succès</w:t>
      </w:r>
    </w:p>
    <w:p>
      <w:pPr>
        <w:pStyle w:val="ListParagraph"/>
        <w:numPr>
          <w:ilvl w:val="0"/>
          <w:numId w:val="2"/>
        </w:numPr>
        <w:spacing w:after="70"/>
      </w:pPr>
      <w:r>
        <w:rPr>
          <w:color w:val="222222"/>
          <w:sz w:val="21"/>
          <w:szCs w:val="21"/>
        </w:rPr>
        <w:t xml:space="preserve">Le noyau (ventes, stock, créances) est utilisé quotidiennement par les boutiques pilotes sans retour au cahier papier</w:t>
      </w:r>
    </w:p>
    <w:p>
      <w:pPr>
        <w:pStyle w:val="ListParagraph"/>
        <w:numPr>
          <w:ilvl w:val="0"/>
          <w:numId w:val="2"/>
        </w:numPr>
        <w:spacing w:after="70"/>
      </w:pPr>
      <w:r>
        <w:rPr>
          <w:color w:val="222222"/>
          <w:sz w:val="21"/>
          <w:szCs w:val="21"/>
        </w:rPr>
        <w:t xml:space="preserve">Les écritures comptables générées sont validées comme correctes par un comptable indépendant</w:t>
      </w:r>
    </w:p>
    <w:p>
      <w:pPr>
        <w:pStyle w:val="ListParagraph"/>
        <w:numPr>
          <w:ilvl w:val="0"/>
          <w:numId w:val="2"/>
        </w:numPr>
        <w:spacing w:after="70"/>
      </w:pPr>
      <w:r>
        <w:rPr>
          <w:color w:val="222222"/>
          <w:sz w:val="21"/>
          <w:szCs w:val="21"/>
        </w:rPr>
        <w:t xml:space="preserve">Au moins un commerçant accepte de payer l'abonnement à l'issue de la phase pilote</w:t>
      </w:r>
    </w:p>
    <w:p>
      <w:pPr>
        <w:pStyle w:val="ListParagraph"/>
        <w:numPr>
          <w:ilvl w:val="0"/>
          <w:numId w:val="2"/>
        </w:numPr>
        <w:spacing w:after="70"/>
      </w:pPr>
      <w:r>
        <w:rPr>
          <w:color w:val="222222"/>
          <w:sz w:val="21"/>
          <w:szCs w:val="21"/>
        </w:rPr>
        <w:t xml:space="preserve">Le temps de saisie quotidien du commerçant diminue de manière mesurable par rapport à sa méthode précédente</w:t>
      </w:r>
    </w:p>
    <w:p>
      <w:pPr>
        <w:pStyle w:val="ListParagraph"/>
        <w:numPr>
          <w:ilvl w:val="0"/>
          <w:numId w:val="2"/>
        </w:numPr>
        <w:spacing w:after="70"/>
      </w:pPr>
      <w:r>
        <w:rPr>
          <w:color w:val="222222"/>
          <w:sz w:val="21"/>
          <w:szCs w:val="21"/>
        </w:rPr>
        <w:t xml:space="preserve">Le logiciel reste pleinement fonctionnel en l'absence totale de connexion internet</w:t>
      </w:r>
    </w:p>
    <w:p>
      <w:pPr>
        <w:spacing w:before="400"/>
      </w:pPr>
      <w:r>
        <w:rPr>
          <w:i/>
          <w:iCs/>
          <w:color w:val="5A5A5A"/>
          <w:sz w:val="18"/>
          <w:szCs w:val="18"/>
        </w:rPr>
        <w:t xml:space="preserve">Fin du cahier des charges — Document rédigé pour servir de base de discussion avec partenaires, co-fondateurs potentiels ou premiers clients pilotes.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2026-07-06T23:34:06.519Z</dcterms:created>
  <dcterms:modified xsi:type="dcterms:W3CDTF">2026-07-06T23:34:06.520Z</dcterms:modified>
</cp:coreProperties>
</file>

<file path=docProps/custom.xml><?xml version="1.0" encoding="utf-8"?>
<Properties xmlns="http://schemas.openxmlformats.org/officeDocument/2006/custom-properties" xmlns:vt="http://schemas.openxmlformats.org/officeDocument/2006/docPropsVTypes"/>
</file>