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8326" w14:textId="77777777" w:rsidR="00D74E4D" w:rsidRDefault="00B40810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0E20FC3" w14:textId="77777777" w:rsidR="00D74E4D" w:rsidRDefault="00B40810">
      <w:pPr>
        <w:jc w:val="center"/>
      </w:pPr>
      <w:r>
        <w:rPr>
          <w:color w:val="BA7517"/>
        </w:rPr>
        <w:t>World Fert Co., Ltd.</w:t>
      </w:r>
    </w:p>
    <w:p w14:paraId="5B838634" w14:textId="77777777" w:rsidR="00D74E4D" w:rsidRDefault="00B40810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ADR-002 — Three-Database Topology and Environment Control</w:t>
      </w:r>
    </w:p>
    <w:p w14:paraId="5FC054FA" w14:textId="77777777" w:rsidR="00D74E4D" w:rsidRDefault="00B40810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D74E4D" w14:paraId="4CA35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8DDB9" w14:textId="77777777" w:rsidR="00D74E4D" w:rsidRDefault="00B4081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EF96B" w14:textId="77777777" w:rsidR="00D74E4D" w:rsidRDefault="00B4081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D74E4D" w14:paraId="37B4E15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D334F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862135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WF-ADR-002</w:t>
            </w:r>
          </w:p>
        </w:tc>
      </w:tr>
      <w:tr w:rsidR="00D74E4D" w14:paraId="0C45786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5C6CF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18C4DE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D74E4D" w14:paraId="081D708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8D5B7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BC691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D74E4D" w14:paraId="37F8B79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72F2A9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D434C2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D74E4D" w14:paraId="0F2C324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A7EFC6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A6698D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D74E4D" w14:paraId="69B67D2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91580F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C0CDE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Solution Architect / DBA</w:t>
            </w:r>
          </w:p>
        </w:tc>
      </w:tr>
      <w:tr w:rsidR="00D74E4D" w14:paraId="3E318F5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ED5A6E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2E615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Accepted — subject to environment register verification</w:t>
            </w:r>
          </w:p>
        </w:tc>
      </w:tr>
      <w:tr w:rsidR="00D74E4D" w14:paraId="5006940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4E309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68F5B" w14:textId="77777777" w:rsidR="00D74E4D" w:rsidRDefault="00B40810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27691DE5" w14:textId="77777777" w:rsidR="00D74E4D" w:rsidRDefault="00B40810">
      <w:r>
        <w:br w:type="page"/>
      </w:r>
    </w:p>
    <w:p w14:paraId="06AC95C3" w14:textId="77777777" w:rsidR="00D74E4D" w:rsidRDefault="00B40810">
      <w:pPr>
        <w:pStyle w:val="Heading1"/>
        <w:spacing w:after="120"/>
      </w:pPr>
      <w:bookmarkStart w:id="0" w:name="_Toc234057226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366566399"/>
      </w:sdtPr>
      <w:sdtEndPr>
        <w:rPr>
          <w:rFonts w:cs="Prompt"/>
          <w:szCs w:val="20"/>
        </w:rPr>
      </w:sdtEndPr>
      <w:sdtContent>
        <w:p w14:paraId="25FA1CD4" w14:textId="77777777" w:rsidR="00415357" w:rsidRDefault="00B4081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26" w:history="1">
            <w:r w:rsidR="00415357" w:rsidRPr="00743073">
              <w:rPr>
                <w:rStyle w:val="Hyperlink"/>
                <w:b/>
                <w:bCs/>
                <w:noProof/>
              </w:rPr>
              <w:t>สารบัญ (Contents)</w:t>
            </w:r>
            <w:r w:rsidR="00415357">
              <w:rPr>
                <w:noProof/>
              </w:rPr>
              <w:tab/>
            </w:r>
            <w:r w:rsidR="00415357">
              <w:rPr>
                <w:noProof/>
              </w:rPr>
              <w:fldChar w:fldCharType="begin"/>
            </w:r>
            <w:r w:rsidR="00415357">
              <w:rPr>
                <w:noProof/>
              </w:rPr>
              <w:instrText xml:space="preserve"> PAGEREF _Toc234057226 \h </w:instrText>
            </w:r>
            <w:r w:rsidR="00415357">
              <w:rPr>
                <w:noProof/>
              </w:rPr>
            </w:r>
            <w:r w:rsidR="00415357">
              <w:rPr>
                <w:noProof/>
              </w:rPr>
              <w:fldChar w:fldCharType="separate"/>
            </w:r>
            <w:r w:rsidR="00415357">
              <w:rPr>
                <w:noProof/>
              </w:rPr>
              <w:t>2</w:t>
            </w:r>
            <w:r w:rsidR="00415357">
              <w:rPr>
                <w:noProof/>
              </w:rPr>
              <w:fldChar w:fldCharType="end"/>
            </w:r>
          </w:hyperlink>
        </w:p>
        <w:p w14:paraId="0730B355" w14:textId="77777777" w:rsidR="00415357" w:rsidRDefault="0041535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7" w:history="1">
            <w:r w:rsidRPr="00743073">
              <w:rPr>
                <w:rStyle w:val="Hyperlink"/>
                <w:noProof/>
              </w:rPr>
              <w:t>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5C6DD6" w14:textId="77777777" w:rsidR="00415357" w:rsidRDefault="0041535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8" w:history="1">
            <w:r w:rsidRPr="00743073">
              <w:rPr>
                <w:rStyle w:val="Hyperlink"/>
                <w:noProof/>
              </w:rPr>
              <w:t>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EEA027" w14:textId="77777777" w:rsidR="00415357" w:rsidRDefault="0041535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9" w:history="1">
            <w:r w:rsidRPr="00743073">
              <w:rPr>
                <w:rStyle w:val="Hyperlink"/>
                <w:noProof/>
              </w:rPr>
              <w:t>Consequences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82EA4A" w14:textId="77777777" w:rsidR="00D74E4D" w:rsidRDefault="00B40810">
          <w:r>
            <w:fldChar w:fldCharType="end"/>
          </w:r>
        </w:p>
      </w:sdtContent>
    </w:sdt>
    <w:p w14:paraId="5062BE7F" w14:textId="77777777" w:rsidR="00D74E4D" w:rsidRDefault="00B40810">
      <w:r>
        <w:br w:type="page"/>
      </w:r>
    </w:p>
    <w:p w14:paraId="7732EF04" w14:textId="77777777" w:rsidR="00D74E4D" w:rsidRDefault="00B40810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78086755" w14:textId="77777777" w:rsidR="00D74E4D" w:rsidRDefault="00D74E4D">
      <w:pPr>
        <w:pBdr>
          <w:bottom w:val="single" w:sz="4" w:space="1" w:color="C9D3E0"/>
        </w:pBdr>
        <w:spacing w:after="60"/>
      </w:pPr>
    </w:p>
    <w:p w14:paraId="757123E2" w14:textId="77777777" w:rsidR="00D74E4D" w:rsidRDefault="00B40810">
      <w:pPr>
        <w:pStyle w:val="Heading2"/>
        <w:spacing w:before="220" w:after="120"/>
      </w:pPr>
      <w:bookmarkStart w:id="1" w:name="_Toc234057227"/>
      <w:r>
        <w:rPr>
          <w:color w:val="0C447C"/>
        </w:rPr>
        <w:t>Context</w:t>
      </w:r>
      <w:bookmarkEnd w:id="1"/>
    </w:p>
    <w:p w14:paraId="107A869F" w14:textId="77777777" w:rsidR="00D74E4D" w:rsidRDefault="00B40810">
      <w:pPr>
        <w:spacing w:after="80" w:line="276" w:lineRule="auto"/>
      </w:pPr>
      <w:r>
        <w:t>The solution uses SQL Server WINSpeed dbo, SQL Server wf schema, and TruckScale MySQL. Evidence shows wf/dbo share SQL Server while TruckScale is logically separate.</w:t>
      </w:r>
    </w:p>
    <w:p w14:paraId="478B3C6E" w14:textId="77777777" w:rsidR="00D74E4D" w:rsidRDefault="00B40810">
      <w:pPr>
        <w:pStyle w:val="Heading2"/>
        <w:spacing w:before="220" w:after="120"/>
      </w:pPr>
      <w:bookmarkStart w:id="2" w:name="_Toc234057228"/>
      <w:r>
        <w:rPr>
          <w:color w:val="0C447C"/>
        </w:rPr>
        <w:t>Decision</w:t>
      </w:r>
      <w:bookmarkEnd w:id="2"/>
    </w:p>
    <w:p w14:paraId="439A2A6B" w14:textId="77777777" w:rsidR="00D74E4D" w:rsidRDefault="00B40810">
      <w:pPr>
        <w:pStyle w:val="ListParagraph"/>
        <w:numPr>
          <w:ilvl w:val="0"/>
          <w:numId w:val="2"/>
        </w:numPr>
        <w:spacing w:after="30"/>
      </w:pPr>
      <w:r>
        <w:t>wf is write-owned operational schema</w:t>
      </w:r>
    </w:p>
    <w:p w14:paraId="0C5A1847" w14:textId="77777777" w:rsidR="00D74E4D" w:rsidRDefault="00B40810">
      <w:pPr>
        <w:pStyle w:val="ListParagraph"/>
        <w:numPr>
          <w:ilvl w:val="0"/>
          <w:numId w:val="2"/>
        </w:numPr>
        <w:spacing w:after="30"/>
      </w:pPr>
      <w:r>
        <w:t>dbo is legacy/external schema controlled by ADR-003</w:t>
      </w:r>
    </w:p>
    <w:p w14:paraId="77620141" w14:textId="77777777" w:rsidR="00D74E4D" w:rsidRDefault="00B40810">
      <w:pPr>
        <w:pStyle w:val="ListParagraph"/>
        <w:numPr>
          <w:ilvl w:val="0"/>
          <w:numId w:val="2"/>
        </w:numPr>
        <w:spacing w:after="30"/>
      </w:pPr>
      <w:r>
        <w:t>TruckScale is read-only through dedicated service/pool</w:t>
      </w:r>
    </w:p>
    <w:p w14:paraId="05D713ED" w14:textId="77777777" w:rsidR="00D74E4D" w:rsidRDefault="00B40810">
      <w:pPr>
        <w:pStyle w:val="ListParagraph"/>
        <w:numPr>
          <w:ilvl w:val="0"/>
          <w:numId w:val="2"/>
        </w:numPr>
        <w:spacing w:after="30"/>
      </w:pPr>
      <w:r>
        <w:t>environment selection propagates through explicit request context</w:t>
      </w:r>
    </w:p>
    <w:p w14:paraId="27242193" w14:textId="77777777" w:rsidR="00D74E4D" w:rsidRDefault="00B40810">
      <w:pPr>
        <w:pStyle w:val="ListParagraph"/>
        <w:numPr>
          <w:ilvl w:val="0"/>
          <w:numId w:val="2"/>
        </w:numPr>
        <w:spacing w:after="30"/>
      </w:pPr>
      <w:r>
        <w:t>production environment register names host, DB, runtime identity, owner, backup policy and data class for each source</w:t>
      </w:r>
    </w:p>
    <w:p w14:paraId="3028B9E7" w14:textId="77777777" w:rsidR="00D74E4D" w:rsidRDefault="00B40810">
      <w:pPr>
        <w:pStyle w:val="Heading2"/>
        <w:spacing w:before="220" w:after="120"/>
      </w:pPr>
      <w:bookmarkStart w:id="3" w:name="_Toc234057229"/>
      <w:r>
        <w:rPr>
          <w:color w:val="0C447C"/>
        </w:rPr>
        <w:t>Consequences</w:t>
      </w:r>
      <w:bookmarkEnd w:id="3"/>
    </w:p>
    <w:p w14:paraId="2570A0EC" w14:textId="77777777" w:rsidR="00D74E4D" w:rsidRDefault="00B40810">
      <w:pPr>
        <w:spacing w:after="80" w:line="276" w:lineRule="auto"/>
      </w:pPr>
      <w:r>
        <w:t>No cross-engine join is assumed at runtime. Cross-source correlation is resolved through application/service logic or an approved read model.</w:t>
      </w:r>
    </w:p>
    <w:sectPr w:rsidR="00D74E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1F79" w14:textId="77777777" w:rsidR="00B40810" w:rsidRDefault="00B40810">
      <w:r>
        <w:separator/>
      </w:r>
    </w:p>
  </w:endnote>
  <w:endnote w:type="continuationSeparator" w:id="0">
    <w:p w14:paraId="16C5F21E" w14:textId="77777777" w:rsidR="00B40810" w:rsidRDefault="00B40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13AD" w14:textId="77777777" w:rsidR="00415357" w:rsidRDefault="004153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1E9E8" w14:textId="15DDD629" w:rsidR="00D74E4D" w:rsidRDefault="00B40810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415357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41535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415357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74F4D" w14:textId="77777777" w:rsidR="00415357" w:rsidRDefault="004153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FE42" w14:textId="77777777" w:rsidR="00B40810" w:rsidRDefault="00B40810">
      <w:r>
        <w:separator/>
      </w:r>
    </w:p>
  </w:footnote>
  <w:footnote w:type="continuationSeparator" w:id="0">
    <w:p w14:paraId="7E661C6C" w14:textId="77777777" w:rsidR="00B40810" w:rsidRDefault="00B40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1C3E" w14:textId="77777777" w:rsidR="00415357" w:rsidRDefault="004153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0A5D" w14:textId="77777777" w:rsidR="00D74E4D" w:rsidRDefault="00B40810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ADR-002 — Three-Database Topology and Environment Control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0D9B" w14:textId="77777777" w:rsidR="00415357" w:rsidRDefault="004153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FBB"/>
    <w:multiLevelType w:val="hybridMultilevel"/>
    <w:tmpl w:val="F280B596"/>
    <w:lvl w:ilvl="0" w:tplc="DEF86C68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5E80CB3C">
      <w:numFmt w:val="decimal"/>
      <w:lvlText w:val=""/>
      <w:lvlJc w:val="left"/>
    </w:lvl>
    <w:lvl w:ilvl="2" w:tplc="69B6E6B4">
      <w:numFmt w:val="decimal"/>
      <w:lvlText w:val=""/>
      <w:lvlJc w:val="left"/>
    </w:lvl>
    <w:lvl w:ilvl="3" w:tplc="260C276A">
      <w:numFmt w:val="decimal"/>
      <w:lvlText w:val=""/>
      <w:lvlJc w:val="left"/>
    </w:lvl>
    <w:lvl w:ilvl="4" w:tplc="7660A84C">
      <w:numFmt w:val="decimal"/>
      <w:lvlText w:val=""/>
      <w:lvlJc w:val="left"/>
    </w:lvl>
    <w:lvl w:ilvl="5" w:tplc="F6EA2A6A">
      <w:numFmt w:val="decimal"/>
      <w:lvlText w:val=""/>
      <w:lvlJc w:val="left"/>
    </w:lvl>
    <w:lvl w:ilvl="6" w:tplc="96C44178">
      <w:numFmt w:val="decimal"/>
      <w:lvlText w:val=""/>
      <w:lvlJc w:val="left"/>
    </w:lvl>
    <w:lvl w:ilvl="7" w:tplc="148A3C34">
      <w:numFmt w:val="decimal"/>
      <w:lvlText w:val=""/>
      <w:lvlJc w:val="left"/>
    </w:lvl>
    <w:lvl w:ilvl="8" w:tplc="1AE426A8">
      <w:numFmt w:val="decimal"/>
      <w:lvlText w:val=""/>
      <w:lvlJc w:val="left"/>
    </w:lvl>
  </w:abstractNum>
  <w:abstractNum w:abstractNumId="1" w15:restartNumberingAfterBreak="0">
    <w:nsid w:val="50691994"/>
    <w:multiLevelType w:val="hybridMultilevel"/>
    <w:tmpl w:val="CCE64364"/>
    <w:lvl w:ilvl="0" w:tplc="A06CB62A">
      <w:start w:val="1"/>
      <w:numFmt w:val="bullet"/>
      <w:lvlText w:val="●"/>
      <w:lvlJc w:val="left"/>
      <w:pPr>
        <w:ind w:left="720" w:hanging="360"/>
      </w:pPr>
    </w:lvl>
    <w:lvl w:ilvl="1" w:tplc="15220214">
      <w:start w:val="1"/>
      <w:numFmt w:val="bullet"/>
      <w:lvlText w:val="○"/>
      <w:lvlJc w:val="left"/>
      <w:pPr>
        <w:ind w:left="1440" w:hanging="360"/>
      </w:pPr>
    </w:lvl>
    <w:lvl w:ilvl="2" w:tplc="FDE6E45E">
      <w:start w:val="1"/>
      <w:numFmt w:val="bullet"/>
      <w:lvlText w:val="■"/>
      <w:lvlJc w:val="left"/>
      <w:pPr>
        <w:ind w:left="2160" w:hanging="360"/>
      </w:pPr>
    </w:lvl>
    <w:lvl w:ilvl="3" w:tplc="9DEE64BA">
      <w:start w:val="1"/>
      <w:numFmt w:val="bullet"/>
      <w:lvlText w:val="●"/>
      <w:lvlJc w:val="left"/>
      <w:pPr>
        <w:ind w:left="2880" w:hanging="360"/>
      </w:pPr>
    </w:lvl>
    <w:lvl w:ilvl="4" w:tplc="CA023B7A">
      <w:start w:val="1"/>
      <w:numFmt w:val="bullet"/>
      <w:lvlText w:val="○"/>
      <w:lvlJc w:val="left"/>
      <w:pPr>
        <w:ind w:left="3600" w:hanging="360"/>
      </w:pPr>
    </w:lvl>
    <w:lvl w:ilvl="5" w:tplc="3D3C8758">
      <w:start w:val="1"/>
      <w:numFmt w:val="bullet"/>
      <w:lvlText w:val="■"/>
      <w:lvlJc w:val="left"/>
      <w:pPr>
        <w:ind w:left="4320" w:hanging="360"/>
      </w:pPr>
    </w:lvl>
    <w:lvl w:ilvl="6" w:tplc="D2189362">
      <w:start w:val="1"/>
      <w:numFmt w:val="bullet"/>
      <w:lvlText w:val="●"/>
      <w:lvlJc w:val="left"/>
      <w:pPr>
        <w:ind w:left="5040" w:hanging="360"/>
      </w:pPr>
    </w:lvl>
    <w:lvl w:ilvl="7" w:tplc="8D848306">
      <w:start w:val="1"/>
      <w:numFmt w:val="bullet"/>
      <w:lvlText w:val="●"/>
      <w:lvlJc w:val="left"/>
      <w:pPr>
        <w:ind w:left="5760" w:hanging="360"/>
      </w:pPr>
    </w:lvl>
    <w:lvl w:ilvl="8" w:tplc="F9FCDD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16B58"/>
    <w:multiLevelType w:val="hybridMultilevel"/>
    <w:tmpl w:val="A6DCB652"/>
    <w:lvl w:ilvl="0" w:tplc="FFB8F4E2">
      <w:start w:val="1"/>
      <w:numFmt w:val="decimal"/>
      <w:lvlText w:val="%1."/>
      <w:lvlJc w:val="left"/>
      <w:pPr>
        <w:ind w:left="540" w:hanging="260"/>
      </w:pPr>
    </w:lvl>
    <w:lvl w:ilvl="1" w:tplc="0476649C">
      <w:numFmt w:val="decimal"/>
      <w:lvlText w:val=""/>
      <w:lvlJc w:val="left"/>
    </w:lvl>
    <w:lvl w:ilvl="2" w:tplc="30A8111A">
      <w:numFmt w:val="decimal"/>
      <w:lvlText w:val=""/>
      <w:lvlJc w:val="left"/>
    </w:lvl>
    <w:lvl w:ilvl="3" w:tplc="67A829AA">
      <w:numFmt w:val="decimal"/>
      <w:lvlText w:val=""/>
      <w:lvlJc w:val="left"/>
    </w:lvl>
    <w:lvl w:ilvl="4" w:tplc="C5FCF3DC">
      <w:numFmt w:val="decimal"/>
      <w:lvlText w:val=""/>
      <w:lvlJc w:val="left"/>
    </w:lvl>
    <w:lvl w:ilvl="5" w:tplc="09A8DB2C">
      <w:numFmt w:val="decimal"/>
      <w:lvlText w:val=""/>
      <w:lvlJc w:val="left"/>
    </w:lvl>
    <w:lvl w:ilvl="6" w:tplc="A2702F1E">
      <w:numFmt w:val="decimal"/>
      <w:lvlText w:val=""/>
      <w:lvlJc w:val="left"/>
    </w:lvl>
    <w:lvl w:ilvl="7" w:tplc="F8C8CE52">
      <w:numFmt w:val="decimal"/>
      <w:lvlText w:val=""/>
      <w:lvlJc w:val="left"/>
    </w:lvl>
    <w:lvl w:ilvl="8" w:tplc="CE9853FA">
      <w:numFmt w:val="decimal"/>
      <w:lvlText w:val=""/>
      <w:lvlJc w:val="left"/>
    </w:lvl>
  </w:abstractNum>
  <w:num w:numId="1" w16cid:durableId="841621511">
    <w:abstractNumId w:val="1"/>
    <w:lvlOverride w:ilvl="0">
      <w:startOverride w:val="1"/>
    </w:lvlOverride>
  </w:num>
  <w:num w:numId="2" w16cid:durableId="748042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4D"/>
    <w:rsid w:val="00415357"/>
    <w:rsid w:val="00B40810"/>
    <w:rsid w:val="00D100DE"/>
    <w:rsid w:val="00D7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9816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15357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415357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41535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415357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41535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41535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