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A07C" w14:textId="77777777" w:rsidR="003F2CC1" w:rsidRDefault="00CD55D5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1A3B7DEA" w14:textId="77777777" w:rsidR="003F2CC1" w:rsidRDefault="00CD55D5">
      <w:pPr>
        <w:jc w:val="center"/>
      </w:pPr>
      <w:r>
        <w:rPr>
          <w:color w:val="BA7517"/>
        </w:rPr>
        <w:t>World Fert Co., Ltd.</w:t>
      </w:r>
    </w:p>
    <w:p w14:paraId="775A2B70" w14:textId="77777777" w:rsidR="003F2CC1" w:rsidRDefault="00CD55D5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ADR-005 — Rebate Ledger, FIFO and Compensation Model</w:t>
      </w:r>
    </w:p>
    <w:p w14:paraId="59416B3E" w14:textId="77777777" w:rsidR="003F2CC1" w:rsidRDefault="00CD55D5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3F2CC1" w14:paraId="7BF96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C09CF" w14:textId="77777777" w:rsidR="003F2CC1" w:rsidRDefault="00CD55D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D10D55" w14:textId="77777777" w:rsidR="003F2CC1" w:rsidRDefault="00CD55D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3F2CC1" w14:paraId="3DBD21D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C3E5EE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58B24E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WF-ADR-005</w:t>
            </w:r>
          </w:p>
        </w:tc>
      </w:tr>
      <w:tr w:rsidR="003F2CC1" w14:paraId="50B0A6C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C733B5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765FE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3F2CC1" w14:paraId="1A36CAC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FBE509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E4697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3F2CC1" w14:paraId="3DCFD62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0ED9F0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BA042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3F2CC1" w14:paraId="3F62E40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5839C9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DD21F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3F2CC1" w14:paraId="3536C5A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D1ADD7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6E2C7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Solution Architect / Accounting / Sales</w:t>
            </w:r>
          </w:p>
        </w:tc>
      </w:tr>
      <w:tr w:rsidR="003F2CC1" w14:paraId="7D45C90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4A98CD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D4BC39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Accepted</w:t>
            </w:r>
          </w:p>
        </w:tc>
      </w:tr>
      <w:tr w:rsidR="003F2CC1" w14:paraId="60E5345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3EB263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4E88DB" w14:textId="77777777" w:rsidR="003F2CC1" w:rsidRDefault="00CD55D5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5416C8E6" w14:textId="77777777" w:rsidR="003F2CC1" w:rsidRDefault="00CD55D5">
      <w:r>
        <w:br w:type="page"/>
      </w:r>
    </w:p>
    <w:p w14:paraId="0925F5BA" w14:textId="77777777" w:rsidR="003F2CC1" w:rsidRDefault="00CD55D5">
      <w:pPr>
        <w:pStyle w:val="Heading1"/>
        <w:spacing w:after="120"/>
      </w:pPr>
      <w:bookmarkStart w:id="0" w:name="_Toc234057242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676002266"/>
      </w:sdtPr>
      <w:sdtEndPr>
        <w:rPr>
          <w:rFonts w:cs="Prompt"/>
          <w:szCs w:val="20"/>
        </w:rPr>
      </w:sdtEndPr>
      <w:sdtContent>
        <w:p w14:paraId="10508FB4" w14:textId="77777777" w:rsidR="00AE76CA" w:rsidRDefault="00CD55D5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42" w:history="1">
            <w:r w:rsidR="00AE76CA" w:rsidRPr="006F61A1">
              <w:rPr>
                <w:rStyle w:val="Hyperlink"/>
                <w:b/>
                <w:bCs/>
                <w:noProof/>
              </w:rPr>
              <w:t>สารบัญ (Contents)</w:t>
            </w:r>
            <w:r w:rsidR="00AE76CA">
              <w:rPr>
                <w:noProof/>
              </w:rPr>
              <w:tab/>
            </w:r>
            <w:r w:rsidR="00AE76CA">
              <w:rPr>
                <w:noProof/>
              </w:rPr>
              <w:fldChar w:fldCharType="begin"/>
            </w:r>
            <w:r w:rsidR="00AE76CA">
              <w:rPr>
                <w:noProof/>
              </w:rPr>
              <w:instrText xml:space="preserve"> PAGEREF _Toc234057242 \h </w:instrText>
            </w:r>
            <w:r w:rsidR="00AE76CA">
              <w:rPr>
                <w:noProof/>
              </w:rPr>
            </w:r>
            <w:r w:rsidR="00AE76CA">
              <w:rPr>
                <w:noProof/>
              </w:rPr>
              <w:fldChar w:fldCharType="separate"/>
            </w:r>
            <w:r w:rsidR="00AE76CA">
              <w:rPr>
                <w:noProof/>
              </w:rPr>
              <w:t>2</w:t>
            </w:r>
            <w:r w:rsidR="00AE76CA">
              <w:rPr>
                <w:noProof/>
              </w:rPr>
              <w:fldChar w:fldCharType="end"/>
            </w:r>
          </w:hyperlink>
        </w:p>
        <w:p w14:paraId="7DA5A987" w14:textId="77777777" w:rsidR="00AE76CA" w:rsidRDefault="00AE76CA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43" w:history="1">
            <w:r w:rsidRPr="006F61A1">
              <w:rPr>
                <w:rStyle w:val="Hyperlink"/>
                <w:noProof/>
              </w:rPr>
              <w:t>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65A8A3" w14:textId="77777777" w:rsidR="00AE76CA" w:rsidRDefault="00AE76CA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44" w:history="1">
            <w:r w:rsidRPr="006F61A1">
              <w:rPr>
                <w:rStyle w:val="Hyperlink"/>
                <w:noProof/>
              </w:rPr>
              <w:t>Benefits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035425" w14:textId="77777777" w:rsidR="003F2CC1" w:rsidRDefault="00CD55D5">
          <w:r>
            <w:fldChar w:fldCharType="end"/>
          </w:r>
        </w:p>
      </w:sdtContent>
    </w:sdt>
    <w:p w14:paraId="04C014F8" w14:textId="77777777" w:rsidR="003F2CC1" w:rsidRDefault="00CD55D5">
      <w:r>
        <w:br w:type="page"/>
      </w:r>
    </w:p>
    <w:p w14:paraId="57F11594" w14:textId="77777777" w:rsidR="003F2CC1" w:rsidRDefault="00CD55D5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56D5C467" w14:textId="77777777" w:rsidR="003F2CC1" w:rsidRDefault="003F2CC1">
      <w:pPr>
        <w:pBdr>
          <w:bottom w:val="single" w:sz="4" w:space="1" w:color="C9D3E0"/>
        </w:pBdr>
        <w:spacing w:after="60"/>
      </w:pPr>
    </w:p>
    <w:p w14:paraId="61DC8400" w14:textId="77777777" w:rsidR="003F2CC1" w:rsidRDefault="00CD55D5">
      <w:pPr>
        <w:pStyle w:val="Heading2"/>
        <w:spacing w:before="220" w:after="120"/>
      </w:pPr>
      <w:bookmarkStart w:id="1" w:name="_Toc234057243"/>
      <w:r>
        <w:rPr>
          <w:color w:val="0C447C"/>
        </w:rPr>
        <w:t>Decision</w:t>
      </w:r>
      <w:bookmarkEnd w:id="1"/>
    </w:p>
    <w:p w14:paraId="63C0D302" w14:textId="77777777" w:rsidR="003F2CC1" w:rsidRDefault="00CD55D5">
      <w:pPr>
        <w:spacing w:after="80" w:line="276" w:lineRule="auto"/>
      </w:pPr>
      <w:r>
        <w:t>Rebate is represented as immutable ledger events, not one mutable aggregate balance.</w:t>
      </w:r>
    </w:p>
    <w:p w14:paraId="776BD9DA" w14:textId="77777777" w:rsidR="003F2CC1" w:rsidRDefault="00CD55D5">
      <w:pPr>
        <w:pStyle w:val="ListParagraph"/>
        <w:numPr>
          <w:ilvl w:val="0"/>
          <w:numId w:val="2"/>
        </w:numPr>
        <w:spacing w:after="30"/>
      </w:pPr>
      <w:r>
        <w:t>confirmed eligible SO line creates accrual using effective plan/NET snapshot</w:t>
      </w:r>
    </w:p>
    <w:p w14:paraId="7F917022" w14:textId="77777777" w:rsidR="003F2CC1" w:rsidRDefault="00CD55D5">
      <w:pPr>
        <w:pStyle w:val="ListParagraph"/>
        <w:numPr>
          <w:ilvl w:val="0"/>
          <w:numId w:val="2"/>
        </w:numPr>
        <w:spacing w:after="30"/>
      </w:pPr>
      <w:r>
        <w:t>pool is controlled aggregation, not sole source of truth</w:t>
      </w:r>
    </w:p>
    <w:p w14:paraId="0987D6F2" w14:textId="77777777" w:rsidR="003F2CC1" w:rsidRDefault="00CD55D5">
      <w:pPr>
        <w:pStyle w:val="ListParagraph"/>
        <w:numPr>
          <w:ilvl w:val="0"/>
          <w:numId w:val="2"/>
        </w:numPr>
        <w:spacing w:after="30"/>
      </w:pPr>
      <w:r>
        <w:t>claim consumes eligible accrual FIFO</w:t>
      </w:r>
    </w:p>
    <w:p w14:paraId="3B4DA881" w14:textId="77777777" w:rsidR="003F2CC1" w:rsidRDefault="00CD55D5">
      <w:pPr>
        <w:pStyle w:val="ListParagraph"/>
        <w:numPr>
          <w:ilvl w:val="0"/>
          <w:numId w:val="2"/>
        </w:numPr>
        <w:spacing w:after="30"/>
      </w:pPr>
      <w:r>
        <w:t>unlock/reversal creates compensating event/flag, never deletion</w:t>
      </w:r>
    </w:p>
    <w:p w14:paraId="2D46253F" w14:textId="77777777" w:rsidR="003F2CC1" w:rsidRDefault="00CD55D5">
      <w:pPr>
        <w:pStyle w:val="ListParagraph"/>
        <w:numPr>
          <w:ilvl w:val="0"/>
          <w:numId w:val="2"/>
        </w:numPr>
        <w:spacing w:after="30"/>
      </w:pPr>
      <w:r>
        <w:t>claim approval links actual WINSpeed CN evidence</w:t>
      </w:r>
    </w:p>
    <w:p w14:paraId="770FA731" w14:textId="77777777" w:rsidR="003F2CC1" w:rsidRDefault="00CD55D5">
      <w:pPr>
        <w:pStyle w:val="ListParagraph"/>
        <w:numPr>
          <w:ilvl w:val="0"/>
          <w:numId w:val="2"/>
        </w:numPr>
        <w:spacing w:after="30"/>
      </w:pPr>
      <w:r>
        <w:t>price-difference return and sales rebate are distinct types</w:t>
      </w:r>
    </w:p>
    <w:p w14:paraId="2E8E03AE" w14:textId="77777777" w:rsidR="003F2CC1" w:rsidRDefault="00CD55D5">
      <w:pPr>
        <w:pStyle w:val="Heading2"/>
        <w:spacing w:before="220" w:after="120"/>
      </w:pPr>
      <w:bookmarkStart w:id="2" w:name="_Toc234057244"/>
      <w:r>
        <w:rPr>
          <w:color w:val="0C447C"/>
        </w:rPr>
        <w:t>Benefits</w:t>
      </w:r>
      <w:bookmarkEnd w:id="2"/>
    </w:p>
    <w:p w14:paraId="192FEDE0" w14:textId="77777777" w:rsidR="003F2CC1" w:rsidRDefault="00CD55D5">
      <w:pPr>
        <w:spacing w:after="80" w:line="276" w:lineRule="auto"/>
      </w:pPr>
      <w:r>
        <w:t>Every claimed amount can trace to SO line, plan, price and date. This supports audit and prevents unexplained remaining-pool behavior.</w:t>
      </w:r>
    </w:p>
    <w:sectPr w:rsidR="003F2C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F176C" w14:textId="77777777" w:rsidR="00CD55D5" w:rsidRDefault="00CD55D5">
      <w:r>
        <w:separator/>
      </w:r>
    </w:p>
  </w:endnote>
  <w:endnote w:type="continuationSeparator" w:id="0">
    <w:p w14:paraId="6382875E" w14:textId="77777777" w:rsidR="00CD55D5" w:rsidRDefault="00CD5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BFEF0" w14:textId="77777777" w:rsidR="00AE76CA" w:rsidRDefault="00AE76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3DD58" w14:textId="0F893EBF" w:rsidR="003F2CC1" w:rsidRDefault="00CD55D5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AE76CA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AE76CA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AE76CA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BAABF" w14:textId="77777777" w:rsidR="00AE76CA" w:rsidRDefault="00AE7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93677" w14:textId="77777777" w:rsidR="00CD55D5" w:rsidRDefault="00CD55D5">
      <w:r>
        <w:separator/>
      </w:r>
    </w:p>
  </w:footnote>
  <w:footnote w:type="continuationSeparator" w:id="0">
    <w:p w14:paraId="4CF19F5A" w14:textId="77777777" w:rsidR="00CD55D5" w:rsidRDefault="00CD5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F03D" w14:textId="77777777" w:rsidR="00AE76CA" w:rsidRDefault="00AE76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A441" w14:textId="77777777" w:rsidR="003F2CC1" w:rsidRDefault="00CD55D5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ADR-005 — Rebate Ledger, FIFO and Compensation Model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DD17A" w14:textId="77777777" w:rsidR="00AE76CA" w:rsidRDefault="00AE76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6288"/>
    <w:multiLevelType w:val="hybridMultilevel"/>
    <w:tmpl w:val="90A0EEFC"/>
    <w:lvl w:ilvl="0" w:tplc="CF00E83A">
      <w:start w:val="1"/>
      <w:numFmt w:val="decimal"/>
      <w:lvlText w:val="%1."/>
      <w:lvlJc w:val="left"/>
      <w:pPr>
        <w:ind w:left="540" w:hanging="260"/>
      </w:pPr>
    </w:lvl>
    <w:lvl w:ilvl="1" w:tplc="B3EC0C6E">
      <w:numFmt w:val="decimal"/>
      <w:lvlText w:val=""/>
      <w:lvlJc w:val="left"/>
    </w:lvl>
    <w:lvl w:ilvl="2" w:tplc="4CF85A3C">
      <w:numFmt w:val="decimal"/>
      <w:lvlText w:val=""/>
      <w:lvlJc w:val="left"/>
    </w:lvl>
    <w:lvl w:ilvl="3" w:tplc="0534136E">
      <w:numFmt w:val="decimal"/>
      <w:lvlText w:val=""/>
      <w:lvlJc w:val="left"/>
    </w:lvl>
    <w:lvl w:ilvl="4" w:tplc="BBC63C10">
      <w:numFmt w:val="decimal"/>
      <w:lvlText w:val=""/>
      <w:lvlJc w:val="left"/>
    </w:lvl>
    <w:lvl w:ilvl="5" w:tplc="A7063FF0">
      <w:numFmt w:val="decimal"/>
      <w:lvlText w:val=""/>
      <w:lvlJc w:val="left"/>
    </w:lvl>
    <w:lvl w:ilvl="6" w:tplc="4E4E8E9A">
      <w:numFmt w:val="decimal"/>
      <w:lvlText w:val=""/>
      <w:lvlJc w:val="left"/>
    </w:lvl>
    <w:lvl w:ilvl="7" w:tplc="31A6FEF8">
      <w:numFmt w:val="decimal"/>
      <w:lvlText w:val=""/>
      <w:lvlJc w:val="left"/>
    </w:lvl>
    <w:lvl w:ilvl="8" w:tplc="3D74E96A">
      <w:numFmt w:val="decimal"/>
      <w:lvlText w:val=""/>
      <w:lvlJc w:val="left"/>
    </w:lvl>
  </w:abstractNum>
  <w:abstractNum w:abstractNumId="1" w15:restartNumberingAfterBreak="0">
    <w:nsid w:val="5A61173B"/>
    <w:multiLevelType w:val="hybridMultilevel"/>
    <w:tmpl w:val="F43EA5B0"/>
    <w:lvl w:ilvl="0" w:tplc="DE2E4402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7C9E3E72">
      <w:numFmt w:val="decimal"/>
      <w:lvlText w:val=""/>
      <w:lvlJc w:val="left"/>
    </w:lvl>
    <w:lvl w:ilvl="2" w:tplc="1FD22E46">
      <w:numFmt w:val="decimal"/>
      <w:lvlText w:val=""/>
      <w:lvlJc w:val="left"/>
    </w:lvl>
    <w:lvl w:ilvl="3" w:tplc="AA227840">
      <w:numFmt w:val="decimal"/>
      <w:lvlText w:val=""/>
      <w:lvlJc w:val="left"/>
    </w:lvl>
    <w:lvl w:ilvl="4" w:tplc="B3CC1436">
      <w:numFmt w:val="decimal"/>
      <w:lvlText w:val=""/>
      <w:lvlJc w:val="left"/>
    </w:lvl>
    <w:lvl w:ilvl="5" w:tplc="98C07436">
      <w:numFmt w:val="decimal"/>
      <w:lvlText w:val=""/>
      <w:lvlJc w:val="left"/>
    </w:lvl>
    <w:lvl w:ilvl="6" w:tplc="D3146652">
      <w:numFmt w:val="decimal"/>
      <w:lvlText w:val=""/>
      <w:lvlJc w:val="left"/>
    </w:lvl>
    <w:lvl w:ilvl="7" w:tplc="AD064E70">
      <w:numFmt w:val="decimal"/>
      <w:lvlText w:val=""/>
      <w:lvlJc w:val="left"/>
    </w:lvl>
    <w:lvl w:ilvl="8" w:tplc="7C5C6E6A">
      <w:numFmt w:val="decimal"/>
      <w:lvlText w:val=""/>
      <w:lvlJc w:val="left"/>
    </w:lvl>
  </w:abstractNum>
  <w:abstractNum w:abstractNumId="2" w15:restartNumberingAfterBreak="0">
    <w:nsid w:val="6C7F1286"/>
    <w:multiLevelType w:val="hybridMultilevel"/>
    <w:tmpl w:val="93B2BB84"/>
    <w:lvl w:ilvl="0" w:tplc="413CEBEC">
      <w:start w:val="1"/>
      <w:numFmt w:val="bullet"/>
      <w:lvlText w:val="●"/>
      <w:lvlJc w:val="left"/>
      <w:pPr>
        <w:ind w:left="720" w:hanging="360"/>
      </w:pPr>
    </w:lvl>
    <w:lvl w:ilvl="1" w:tplc="71D227D2">
      <w:start w:val="1"/>
      <w:numFmt w:val="bullet"/>
      <w:lvlText w:val="○"/>
      <w:lvlJc w:val="left"/>
      <w:pPr>
        <w:ind w:left="1440" w:hanging="360"/>
      </w:pPr>
    </w:lvl>
    <w:lvl w:ilvl="2" w:tplc="1A4C36F4">
      <w:start w:val="1"/>
      <w:numFmt w:val="bullet"/>
      <w:lvlText w:val="■"/>
      <w:lvlJc w:val="left"/>
      <w:pPr>
        <w:ind w:left="2160" w:hanging="360"/>
      </w:pPr>
    </w:lvl>
    <w:lvl w:ilvl="3" w:tplc="C07CF7B0">
      <w:start w:val="1"/>
      <w:numFmt w:val="bullet"/>
      <w:lvlText w:val="●"/>
      <w:lvlJc w:val="left"/>
      <w:pPr>
        <w:ind w:left="2880" w:hanging="360"/>
      </w:pPr>
    </w:lvl>
    <w:lvl w:ilvl="4" w:tplc="D228EE46">
      <w:start w:val="1"/>
      <w:numFmt w:val="bullet"/>
      <w:lvlText w:val="○"/>
      <w:lvlJc w:val="left"/>
      <w:pPr>
        <w:ind w:left="3600" w:hanging="360"/>
      </w:pPr>
    </w:lvl>
    <w:lvl w:ilvl="5" w:tplc="85C65E5A">
      <w:start w:val="1"/>
      <w:numFmt w:val="bullet"/>
      <w:lvlText w:val="■"/>
      <w:lvlJc w:val="left"/>
      <w:pPr>
        <w:ind w:left="4320" w:hanging="360"/>
      </w:pPr>
    </w:lvl>
    <w:lvl w:ilvl="6" w:tplc="20B29DB8">
      <w:start w:val="1"/>
      <w:numFmt w:val="bullet"/>
      <w:lvlText w:val="●"/>
      <w:lvlJc w:val="left"/>
      <w:pPr>
        <w:ind w:left="5040" w:hanging="360"/>
      </w:pPr>
    </w:lvl>
    <w:lvl w:ilvl="7" w:tplc="356A7B78">
      <w:start w:val="1"/>
      <w:numFmt w:val="bullet"/>
      <w:lvlText w:val="●"/>
      <w:lvlJc w:val="left"/>
      <w:pPr>
        <w:ind w:left="5760" w:hanging="360"/>
      </w:pPr>
    </w:lvl>
    <w:lvl w:ilvl="8" w:tplc="22321BBE">
      <w:start w:val="1"/>
      <w:numFmt w:val="bullet"/>
      <w:lvlText w:val="●"/>
      <w:lvlJc w:val="left"/>
      <w:pPr>
        <w:ind w:left="6480" w:hanging="360"/>
      </w:pPr>
    </w:lvl>
  </w:abstractNum>
  <w:num w:numId="1" w16cid:durableId="126823836">
    <w:abstractNumId w:val="2"/>
    <w:lvlOverride w:ilvl="0">
      <w:startOverride w:val="1"/>
    </w:lvlOverride>
  </w:num>
  <w:num w:numId="2" w16cid:durableId="9017971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C1"/>
    <w:rsid w:val="003F2CC1"/>
    <w:rsid w:val="00AE76CA"/>
    <w:rsid w:val="00CD55D5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6A08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E76CA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AE76CA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AE76CA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AE76CA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AE76CA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AE76CA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