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1218" w14:textId="77777777" w:rsidR="00894DFF" w:rsidRDefault="00BB1287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5949CCC1" w14:textId="77777777" w:rsidR="00894DFF" w:rsidRDefault="00BB1287">
      <w:pPr>
        <w:jc w:val="center"/>
      </w:pPr>
      <w:r>
        <w:rPr>
          <w:color w:val="BA7517"/>
        </w:rPr>
        <w:t>World Fert Co., Ltd.</w:t>
      </w:r>
    </w:p>
    <w:p w14:paraId="7F40DE21" w14:textId="77777777" w:rsidR="00894DFF" w:rsidRDefault="00BB1287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Solution Architecture Document</w:t>
      </w:r>
    </w:p>
    <w:p w14:paraId="76969CE8" w14:textId="77777777" w:rsidR="00894DFF" w:rsidRDefault="00BB1287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894DFF" w14:paraId="36BEEC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0E797A" w14:textId="77777777" w:rsidR="00894DFF" w:rsidRDefault="00BB128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570746" w14:textId="77777777" w:rsidR="00894DFF" w:rsidRDefault="00BB128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894DFF" w14:paraId="1B2D5BF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96503E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914C6B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WF-SAD-001</w:t>
            </w:r>
          </w:p>
        </w:tc>
      </w:tr>
      <w:tr w:rsidR="00894DFF" w14:paraId="6A31FF5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2D19CD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439181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894DFF" w14:paraId="7252B08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1E9C95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69B508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894DFF" w14:paraId="46DB306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4ADC7F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F9D7DD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894DFF" w14:paraId="08E0EE4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DD71E1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66ABFE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894DFF" w14:paraId="13DFE89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225D82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6A08CA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Solution Architect</w:t>
            </w:r>
          </w:p>
        </w:tc>
      </w:tr>
      <w:tr w:rsidR="00894DFF" w14:paraId="1A40C4C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EA3C47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172059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894DFF" w14:paraId="2B080DA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CA0D50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6D9C09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6F001688" w14:textId="77777777" w:rsidR="00894DFF" w:rsidRDefault="00BB1287">
      <w:r>
        <w:br w:type="page"/>
      </w:r>
    </w:p>
    <w:p w14:paraId="716D43F5" w14:textId="77777777" w:rsidR="00894DFF" w:rsidRDefault="00BB1287">
      <w:pPr>
        <w:pStyle w:val="Heading1"/>
        <w:spacing w:after="120"/>
      </w:pPr>
      <w:bookmarkStart w:id="0" w:name="_Toc234057250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742413014"/>
      </w:sdtPr>
      <w:sdtEndPr>
        <w:rPr>
          <w:rFonts w:cs="Prompt"/>
          <w:szCs w:val="20"/>
        </w:rPr>
      </w:sdtEndPr>
      <w:sdtContent>
        <w:p w14:paraId="07D50538" w14:textId="77777777" w:rsidR="00BB52D0" w:rsidRDefault="00BB1287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250" w:history="1">
            <w:r w:rsidR="00BB52D0" w:rsidRPr="006B120B">
              <w:rPr>
                <w:rStyle w:val="Hyperlink"/>
                <w:b/>
                <w:bCs/>
                <w:noProof/>
              </w:rPr>
              <w:t>สารบัญ (Contents)</w:t>
            </w:r>
            <w:r w:rsidR="00BB52D0">
              <w:rPr>
                <w:noProof/>
              </w:rPr>
              <w:tab/>
            </w:r>
            <w:r w:rsidR="00BB52D0">
              <w:rPr>
                <w:noProof/>
              </w:rPr>
              <w:fldChar w:fldCharType="begin"/>
            </w:r>
            <w:r w:rsidR="00BB52D0">
              <w:rPr>
                <w:noProof/>
              </w:rPr>
              <w:instrText xml:space="preserve"> PAGEREF _Toc234057250 \h </w:instrText>
            </w:r>
            <w:r w:rsidR="00BB52D0">
              <w:rPr>
                <w:noProof/>
              </w:rPr>
            </w:r>
            <w:r w:rsidR="00BB52D0">
              <w:rPr>
                <w:noProof/>
              </w:rPr>
              <w:fldChar w:fldCharType="separate"/>
            </w:r>
            <w:r w:rsidR="00BB52D0">
              <w:rPr>
                <w:noProof/>
              </w:rPr>
              <w:t>2</w:t>
            </w:r>
            <w:r w:rsidR="00BB52D0">
              <w:rPr>
                <w:noProof/>
              </w:rPr>
              <w:fldChar w:fldCharType="end"/>
            </w:r>
          </w:hyperlink>
        </w:p>
        <w:p w14:paraId="1235E886" w14:textId="77777777" w:rsidR="00BB52D0" w:rsidRDefault="00BB52D0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51" w:history="1">
            <w:r w:rsidRPr="006B120B">
              <w:rPr>
                <w:rStyle w:val="Hyperlink"/>
                <w:noProof/>
              </w:rPr>
              <w:t>Architecture intent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26127B" w14:textId="77777777" w:rsidR="00BB52D0" w:rsidRDefault="00BB52D0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52" w:history="1">
            <w:r w:rsidRPr="006B120B">
              <w:rPr>
                <w:rStyle w:val="Hyperlink"/>
                <w:noProof/>
              </w:rPr>
              <w:t>Logical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9FBC33" w14:textId="77777777" w:rsidR="00BB52D0" w:rsidRDefault="00BB52D0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53" w:history="1">
            <w:r w:rsidRPr="006B120B">
              <w:rPr>
                <w:rStyle w:val="Hyperlink"/>
                <w:noProof/>
              </w:rPr>
              <w:t>Architecture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0396E3" w14:textId="77777777" w:rsidR="00BB52D0" w:rsidRDefault="00BB52D0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54" w:history="1">
            <w:r w:rsidRPr="006B120B">
              <w:rPr>
                <w:rStyle w:val="Hyperlink"/>
                <w:noProof/>
              </w:rPr>
              <w:t>Bounded contexts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C082AB" w14:textId="77777777" w:rsidR="00BB52D0" w:rsidRDefault="00BB52D0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55" w:history="1">
            <w:r w:rsidRPr="006B120B">
              <w:rPr>
                <w:rStyle w:val="Hyperlink"/>
                <w:noProof/>
              </w:rPr>
              <w:t>Data ownership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61ABDE" w14:textId="77777777" w:rsidR="00BB52D0" w:rsidRDefault="00BB52D0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56" w:history="1">
            <w:r w:rsidRPr="006B120B">
              <w:rPr>
                <w:rStyle w:val="Hyperlink"/>
                <w:noProof/>
              </w:rPr>
              <w:t>Integration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0B4402" w14:textId="77777777" w:rsidR="00BB52D0" w:rsidRDefault="00BB52D0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57" w:history="1">
            <w:r w:rsidRPr="006B120B">
              <w:rPr>
                <w:rStyle w:val="Hyperlink"/>
                <w:noProof/>
              </w:rPr>
              <w:t>Production topology target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3CCAD5" w14:textId="77777777" w:rsidR="00894DFF" w:rsidRDefault="00BB1287">
          <w:r>
            <w:fldChar w:fldCharType="end"/>
          </w:r>
        </w:p>
      </w:sdtContent>
    </w:sdt>
    <w:p w14:paraId="5F3E1981" w14:textId="77777777" w:rsidR="00894DFF" w:rsidRDefault="00BB1287">
      <w:r>
        <w:br w:type="page"/>
      </w:r>
    </w:p>
    <w:p w14:paraId="6C6558AE" w14:textId="77777777" w:rsidR="00894DFF" w:rsidRDefault="00BB1287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0707FDDB" w14:textId="77777777" w:rsidR="00894DFF" w:rsidRDefault="00894DFF">
      <w:pPr>
        <w:pBdr>
          <w:bottom w:val="single" w:sz="4" w:space="1" w:color="C9D3E0"/>
        </w:pBdr>
        <w:spacing w:after="60"/>
      </w:pPr>
    </w:p>
    <w:p w14:paraId="58A26ABC" w14:textId="77777777" w:rsidR="00894DFF" w:rsidRDefault="00BB1287">
      <w:pPr>
        <w:pStyle w:val="Heading2"/>
        <w:spacing w:before="220" w:after="120"/>
      </w:pPr>
      <w:bookmarkStart w:id="1" w:name="_Toc234057251"/>
      <w:r>
        <w:rPr>
          <w:color w:val="0C447C"/>
        </w:rPr>
        <w:t>Architecture intent</w:t>
      </w:r>
      <w:bookmarkEnd w:id="1"/>
    </w:p>
    <w:p w14:paraId="69E5A6A1" w14:textId="77777777" w:rsidR="00894DFF" w:rsidRDefault="00BB1287">
      <w:pPr>
        <w:spacing w:after="80" w:line="276" w:lineRule="auto"/>
      </w:pPr>
      <w:r>
        <w:t>ออกแบบเพื่อให้ operational workflow เปลี่ยนเร็วโดยไม่แทรกแซง finance/GL ของ WINSpeed และสร้างหลักฐานที่ตรวจสอบได้ระดับ event/record</w:t>
      </w:r>
    </w:p>
    <w:p w14:paraId="2A3663C1" w14:textId="77777777" w:rsidR="00894DFF" w:rsidRDefault="00BB1287">
      <w:pPr>
        <w:pStyle w:val="Heading2"/>
        <w:spacing w:before="220" w:after="120"/>
      </w:pPr>
      <w:bookmarkStart w:id="2" w:name="_Toc234057252"/>
      <w:r>
        <w:rPr>
          <w:color w:val="0C447C"/>
        </w:rPr>
        <w:t>Logical architecture</w:t>
      </w:r>
      <w:bookmarkEnd w:id="2"/>
    </w:p>
    <w:p w14:paraId="039DA0DC" w14:textId="77777777" w:rsidR="00894DFF" w:rsidRDefault="00BB1287">
      <w:pPr>
        <w:spacing w:after="80"/>
      </w:pPr>
      <w:r>
        <w:rPr>
          <w:i/>
          <w:iCs/>
          <w:color w:val="BA7517"/>
        </w:rPr>
        <w:t>【</w:t>
      </w:r>
      <w:r>
        <w:rPr>
          <w:i/>
          <w:iCs/>
          <w:color w:val="BA7517"/>
        </w:rPr>
        <w:t>ไดอะแกรม — ดู .drawio / .png ประกอบ</w:t>
      </w:r>
      <w:r>
        <w:rPr>
          <w:i/>
          <w:iCs/>
          <w:color w:val="BA7517"/>
        </w:rPr>
        <w:t>】</w:t>
      </w:r>
    </w:p>
    <w:p w14:paraId="5130BECF" w14:textId="77777777" w:rsidR="00894DFF" w:rsidRDefault="00BB1287">
      <w:pPr>
        <w:pStyle w:val="Heading2"/>
        <w:spacing w:before="220" w:after="120"/>
      </w:pPr>
      <w:bookmarkStart w:id="3" w:name="_Toc234057253"/>
      <w:r>
        <w:rPr>
          <w:color w:val="0C447C"/>
        </w:rPr>
        <w:t>Architecture principles</w:t>
      </w:r>
      <w:bookmarkEnd w:id="3"/>
    </w:p>
    <w:p w14:paraId="5614EF74" w14:textId="77777777" w:rsidR="00894DFF" w:rsidRDefault="00BB1287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Accounting boundary</w:t>
      </w:r>
      <w:r>
        <w:t xml:space="preserve"> — WINSpeed owns invoice/CN/GL posting.</w:t>
      </w:r>
    </w:p>
    <w:p w14:paraId="7C331053" w14:textId="77777777" w:rsidR="00894DFF" w:rsidRDefault="00BB1287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Controlled write boundary</w:t>
      </w:r>
      <w:r>
        <w:t xml:space="preserve"> — direct dbo writing is explicit exception, never implicit.</w:t>
      </w:r>
    </w:p>
    <w:p w14:paraId="4E064287" w14:textId="77777777" w:rsidR="00894DFF" w:rsidRDefault="00BB1287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Append-only evidence</w:t>
      </w:r>
      <w:r>
        <w:t xml:space="preserve"> — audit, ledger and source references preserved; corrections compensate.</w:t>
      </w:r>
    </w:p>
    <w:p w14:paraId="613310FA" w14:textId="77777777" w:rsidR="00894DFF" w:rsidRDefault="00BB1287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Read-model isolation</w:t>
      </w:r>
      <w:r>
        <w:t xml:space="preserve"> — heavy report/control-ticket queries use approved views/indexes/pagination.</w:t>
      </w:r>
    </w:p>
    <w:p w14:paraId="7F1F4226" w14:textId="77777777" w:rsidR="00894DFF" w:rsidRDefault="00BB1287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Integration resilience</w:t>
      </w:r>
      <w:r>
        <w:t xml:space="preserve"> — idempotency, retry/reconciliation and manual fallback explicit.</w:t>
      </w:r>
    </w:p>
    <w:p w14:paraId="6D39AB41" w14:textId="77777777" w:rsidR="00894DFF" w:rsidRDefault="00BB1287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Least privilege</w:t>
      </w:r>
      <w:r>
        <w:t xml:space="preserve"> — no sa/root in runtime.</w:t>
      </w:r>
    </w:p>
    <w:p w14:paraId="586BDBC4" w14:textId="77777777" w:rsidR="00894DFF" w:rsidRDefault="00BB1287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Observe before mutate</w:t>
      </w:r>
      <w:r>
        <w:t xml:space="preserve"> — TruckScale read-only; ambiguity surfaced.</w:t>
      </w:r>
    </w:p>
    <w:p w14:paraId="3CDAD17C" w14:textId="77777777" w:rsidR="00894DFF" w:rsidRDefault="00BB1287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Configuration over hardcode</w:t>
      </w:r>
      <w:r>
        <w:t xml:space="preserve"> — policy/threshold/period/environment controlled.</w:t>
      </w:r>
    </w:p>
    <w:p w14:paraId="31A34F60" w14:textId="77777777" w:rsidR="00894DFF" w:rsidRDefault="00BB1287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Operational transparency</w:t>
      </w:r>
      <w:r>
        <w:t xml:space="preserve"> — health, version, release, failures visible.</w:t>
      </w:r>
    </w:p>
    <w:p w14:paraId="6128DABB" w14:textId="77777777" w:rsidR="00894DFF" w:rsidRDefault="00BB1287">
      <w:pPr>
        <w:pStyle w:val="Heading2"/>
        <w:spacing w:before="220" w:after="120"/>
      </w:pPr>
      <w:bookmarkStart w:id="4" w:name="_Toc234057254"/>
      <w:r>
        <w:rPr>
          <w:color w:val="0C447C"/>
        </w:rPr>
        <w:t>Bounded contexts</w:t>
      </w:r>
      <w:bookmarkEnd w:id="4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894DFF" w14:paraId="25A9F4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5C355C" w14:textId="77777777" w:rsidR="00894DFF" w:rsidRDefault="00BB128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780D2C" w14:textId="77777777" w:rsidR="00894DFF" w:rsidRDefault="00BB128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Owned data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9E297A" w14:textId="77777777" w:rsidR="00894DFF" w:rsidRDefault="00BB128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 responsibility</w:t>
            </w:r>
          </w:p>
        </w:tc>
      </w:tr>
      <w:tr w:rsidR="00894DFF" w14:paraId="3575DA08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1B8184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Sales Execution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444613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SO, lines, states, verify, load sequence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410552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lifecycle control</w:t>
            </w:r>
          </w:p>
        </w:tc>
      </w:tr>
      <w:tr w:rsidR="00894DFF" w14:paraId="06A32526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3A2413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Rebate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86A51A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plan, allocation, pool, ledger, claim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7892C4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traceable promotion</w:t>
            </w:r>
          </w:p>
        </w:tc>
      </w:tr>
      <w:tr w:rsidR="00894DFF" w14:paraId="55C7CB86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D4E245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Warehouse/Weighing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F94522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pick status, WeighTicket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DE21EA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loading/ship evidence</w:t>
            </w:r>
          </w:p>
        </w:tc>
      </w:tr>
      <w:tr w:rsidR="00894DFF" w14:paraId="0CF5C44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D7B263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Paper Trail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E37095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copies, QR, scans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62DE45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document custody</w:t>
            </w:r>
          </w:p>
        </w:tc>
      </w:tr>
      <w:tr w:rsidR="00894DFF" w14:paraId="3D0E9F3A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769428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Integration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1E9242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outbox/reconcile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DDABA4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safe external operations</w:t>
            </w:r>
          </w:p>
        </w:tc>
      </w:tr>
      <w:tr w:rsidR="00894DFF" w14:paraId="24E588E5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FF363B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Identity/Admin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D05E2E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user/role/policy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BA0884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access/config</w:t>
            </w:r>
          </w:p>
        </w:tc>
      </w:tr>
      <w:tr w:rsidR="00894DFF" w14:paraId="718061FF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C183F9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Reporting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F0A592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read models/export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0CC222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operational visibility</w:t>
            </w:r>
          </w:p>
        </w:tc>
      </w:tr>
    </w:tbl>
    <w:p w14:paraId="653C770F" w14:textId="77777777" w:rsidR="00894DFF" w:rsidRDefault="00894DFF">
      <w:pPr>
        <w:spacing w:after="100"/>
      </w:pPr>
    </w:p>
    <w:p w14:paraId="5BB06B5D" w14:textId="77777777" w:rsidR="00894DFF" w:rsidRDefault="00BB1287">
      <w:pPr>
        <w:pStyle w:val="Heading2"/>
        <w:spacing w:before="220" w:after="120"/>
      </w:pPr>
      <w:bookmarkStart w:id="5" w:name="_Toc234057255"/>
      <w:r>
        <w:rPr>
          <w:color w:val="0C447C"/>
        </w:rPr>
        <w:t>Data ownership</w:t>
      </w:r>
      <w:bookmarkEnd w:id="5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894DFF" w14:paraId="04F602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13C4BA" w14:textId="77777777" w:rsidR="00894DFF" w:rsidRDefault="00BB128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Data class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6EC34E" w14:textId="77777777" w:rsidR="00894DFF" w:rsidRDefault="00BB128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472F7F" w14:textId="77777777" w:rsidR="00894DFF" w:rsidRDefault="00BB128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App authority</w:t>
            </w:r>
          </w:p>
        </w:tc>
      </w:tr>
      <w:tr w:rsidR="00894DFF" w14:paraId="728F909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D4D4B2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WINSpeed master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F0930C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WINSpeed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45F9DF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controlled read</w:t>
            </w:r>
          </w:p>
        </w:tc>
      </w:tr>
      <w:tr w:rsidR="00894DFF" w14:paraId="3DC89D66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A9D921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WINSpeed invoice/CN/GL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FB815B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WINSpeed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9E6D02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read/reconcile</w:t>
            </w:r>
          </w:p>
        </w:tc>
      </w:tr>
      <w:tr w:rsidR="00894DFF" w14:paraId="5A6C6AD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4B2A52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operational workflow/audit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A36494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wf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5664F9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write</w:t>
            </w:r>
          </w:p>
        </w:tc>
      </w:tr>
      <w:tr w:rsidR="00894DFF" w14:paraId="6DDD42CE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4A9CE9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Rebate/claim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7246FA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wf + CN evidence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199E5E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write/read</w:t>
            </w:r>
          </w:p>
        </w:tc>
      </w:tr>
      <w:tr w:rsidR="00894DFF" w14:paraId="1175C29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58BDB0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Weigh source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71F5A8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TruckScale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EA1D60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read-only</w:t>
            </w:r>
          </w:p>
        </w:tc>
      </w:tr>
      <w:tr w:rsidR="00894DFF" w14:paraId="6806E48C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B61495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Paper custody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408525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wf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40E7BC" w14:textId="77777777" w:rsidR="00894DFF" w:rsidRDefault="00BB1287">
            <w:pPr>
              <w:spacing w:line="252" w:lineRule="auto"/>
            </w:pPr>
            <w:r>
              <w:rPr>
                <w:sz w:val="18"/>
                <w:szCs w:val="18"/>
              </w:rPr>
              <w:t>write</w:t>
            </w:r>
          </w:p>
        </w:tc>
      </w:tr>
    </w:tbl>
    <w:p w14:paraId="6B7AB31C" w14:textId="77777777" w:rsidR="00894DFF" w:rsidRDefault="00894DFF">
      <w:pPr>
        <w:spacing w:after="100"/>
      </w:pPr>
    </w:p>
    <w:p w14:paraId="5D363AB9" w14:textId="77777777" w:rsidR="00894DFF" w:rsidRDefault="00BB1287">
      <w:pPr>
        <w:pStyle w:val="Heading2"/>
        <w:spacing w:before="220" w:after="120"/>
      </w:pPr>
      <w:bookmarkStart w:id="6" w:name="_Toc234057256"/>
      <w:r>
        <w:rPr>
          <w:color w:val="0C447C"/>
        </w:rPr>
        <w:t>Integration sequence</w:t>
      </w:r>
      <w:bookmarkEnd w:id="6"/>
    </w:p>
    <w:p w14:paraId="0477A74C" w14:textId="77777777" w:rsidR="00894DFF" w:rsidRDefault="00BB1287">
      <w:pPr>
        <w:spacing w:after="80"/>
      </w:pPr>
      <w:r>
        <w:rPr>
          <w:i/>
          <w:iCs/>
          <w:color w:val="BA7517"/>
        </w:rPr>
        <w:t>【</w:t>
      </w:r>
      <w:r>
        <w:rPr>
          <w:i/>
          <w:iCs/>
          <w:color w:val="BA7517"/>
        </w:rPr>
        <w:t>ไดอะแกรม — ดู .drawio / .png ประกอบ</w:t>
      </w:r>
      <w:r>
        <w:rPr>
          <w:i/>
          <w:iCs/>
          <w:color w:val="BA7517"/>
        </w:rPr>
        <w:t>】</w:t>
      </w:r>
    </w:p>
    <w:p w14:paraId="7D59CB26" w14:textId="77777777" w:rsidR="00894DFF" w:rsidRDefault="00BB1287">
      <w:pPr>
        <w:pStyle w:val="Heading2"/>
        <w:spacing w:before="220" w:after="120"/>
      </w:pPr>
      <w:bookmarkStart w:id="7" w:name="_Toc234057257"/>
      <w:r>
        <w:rPr>
          <w:color w:val="0C447C"/>
        </w:rPr>
        <w:t>Production topology target</w:t>
      </w:r>
      <w:bookmarkEnd w:id="7"/>
    </w:p>
    <w:p w14:paraId="78D36803" w14:textId="77777777" w:rsidR="00894DFF" w:rsidRDefault="00BB1287">
      <w:pPr>
        <w:pStyle w:val="ListParagraph"/>
        <w:numPr>
          <w:ilvl w:val="0"/>
          <w:numId w:val="3"/>
        </w:numPr>
        <w:spacing w:after="30"/>
      </w:pPr>
      <w:r>
        <w:t>Frontend through managed static hosting/CDN or on-prem Nginx</w:t>
      </w:r>
    </w:p>
    <w:p w14:paraId="614A3AFE" w14:textId="77777777" w:rsidR="00894DFF" w:rsidRDefault="00BB1287">
      <w:pPr>
        <w:pStyle w:val="ListParagraph"/>
        <w:numPr>
          <w:ilvl w:val="0"/>
          <w:numId w:val="3"/>
        </w:numPr>
        <w:spacing w:after="30"/>
      </w:pPr>
      <w:r>
        <w:t>Backend as immutable container</w:t>
      </w:r>
    </w:p>
    <w:p w14:paraId="77C5FE82" w14:textId="77777777" w:rsidR="00894DFF" w:rsidRDefault="00BB1287">
      <w:pPr>
        <w:pStyle w:val="ListParagraph"/>
        <w:numPr>
          <w:ilvl w:val="0"/>
          <w:numId w:val="3"/>
        </w:numPr>
        <w:spacing w:after="30"/>
      </w:pPr>
      <w:r>
        <w:t>SQL Server via private network/VPN/allowlist</w:t>
      </w:r>
    </w:p>
    <w:p w14:paraId="01C1B213" w14:textId="77777777" w:rsidR="00894DFF" w:rsidRDefault="00BB1287">
      <w:pPr>
        <w:pStyle w:val="ListParagraph"/>
        <w:numPr>
          <w:ilvl w:val="0"/>
          <w:numId w:val="3"/>
        </w:numPr>
        <w:spacing w:after="30"/>
      </w:pPr>
      <w:r>
        <w:t>TruckScale via private connectivity or managed replica</w:t>
      </w:r>
    </w:p>
    <w:p w14:paraId="7ED9254A" w14:textId="77777777" w:rsidR="00894DFF" w:rsidRDefault="00BB1287">
      <w:pPr>
        <w:pStyle w:val="ListParagraph"/>
        <w:numPr>
          <w:ilvl w:val="0"/>
          <w:numId w:val="3"/>
        </w:numPr>
        <w:spacing w:after="30"/>
      </w:pPr>
      <w:r>
        <w:t>centralized secret management</w:t>
      </w:r>
    </w:p>
    <w:p w14:paraId="6B789665" w14:textId="77777777" w:rsidR="00894DFF" w:rsidRDefault="00BB1287">
      <w:pPr>
        <w:pStyle w:val="ListParagraph"/>
        <w:numPr>
          <w:ilvl w:val="0"/>
          <w:numId w:val="3"/>
        </w:numPr>
        <w:spacing w:after="30"/>
      </w:pPr>
      <w:r>
        <w:t>monitoring/alerting/backup validation before Full Production</w:t>
      </w:r>
    </w:p>
    <w:sectPr w:rsidR="00894D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772AA" w14:textId="77777777" w:rsidR="00BB1287" w:rsidRDefault="00BB1287">
      <w:r>
        <w:separator/>
      </w:r>
    </w:p>
  </w:endnote>
  <w:endnote w:type="continuationSeparator" w:id="0">
    <w:p w14:paraId="4F520F2A" w14:textId="77777777" w:rsidR="00BB1287" w:rsidRDefault="00BB1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46202" w14:textId="77777777" w:rsidR="00BB52D0" w:rsidRDefault="00BB52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E2684" w14:textId="301C2326" w:rsidR="00894DFF" w:rsidRDefault="00BB1287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BB52D0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BB52D0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BB52D0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48412" w14:textId="77777777" w:rsidR="00BB52D0" w:rsidRDefault="00BB52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88E8B" w14:textId="77777777" w:rsidR="00BB1287" w:rsidRDefault="00BB1287">
      <w:r>
        <w:separator/>
      </w:r>
    </w:p>
  </w:footnote>
  <w:footnote w:type="continuationSeparator" w:id="0">
    <w:p w14:paraId="1FE0AEAB" w14:textId="77777777" w:rsidR="00BB1287" w:rsidRDefault="00BB12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2C1F1" w14:textId="77777777" w:rsidR="00BB52D0" w:rsidRDefault="00BB52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D3192" w14:textId="77777777" w:rsidR="00894DFF" w:rsidRDefault="00BB1287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Solution Architecture Document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22509" w14:textId="77777777" w:rsidR="00BB52D0" w:rsidRDefault="00BB52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31F27"/>
    <w:multiLevelType w:val="hybridMultilevel"/>
    <w:tmpl w:val="8138BBE6"/>
    <w:lvl w:ilvl="0" w:tplc="13980BEE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094E4866">
      <w:numFmt w:val="decimal"/>
      <w:lvlText w:val=""/>
      <w:lvlJc w:val="left"/>
    </w:lvl>
    <w:lvl w:ilvl="2" w:tplc="FB06CE94">
      <w:numFmt w:val="decimal"/>
      <w:lvlText w:val=""/>
      <w:lvlJc w:val="left"/>
    </w:lvl>
    <w:lvl w:ilvl="3" w:tplc="84A065C0">
      <w:numFmt w:val="decimal"/>
      <w:lvlText w:val=""/>
      <w:lvlJc w:val="left"/>
    </w:lvl>
    <w:lvl w:ilvl="4" w:tplc="DA14F146">
      <w:numFmt w:val="decimal"/>
      <w:lvlText w:val=""/>
      <w:lvlJc w:val="left"/>
    </w:lvl>
    <w:lvl w:ilvl="5" w:tplc="8B388F74">
      <w:numFmt w:val="decimal"/>
      <w:lvlText w:val=""/>
      <w:lvlJc w:val="left"/>
    </w:lvl>
    <w:lvl w:ilvl="6" w:tplc="F9F4ABFA">
      <w:numFmt w:val="decimal"/>
      <w:lvlText w:val=""/>
      <w:lvlJc w:val="left"/>
    </w:lvl>
    <w:lvl w:ilvl="7" w:tplc="22E0354C">
      <w:numFmt w:val="decimal"/>
      <w:lvlText w:val=""/>
      <w:lvlJc w:val="left"/>
    </w:lvl>
    <w:lvl w:ilvl="8" w:tplc="07E88EAA">
      <w:numFmt w:val="decimal"/>
      <w:lvlText w:val=""/>
      <w:lvlJc w:val="left"/>
    </w:lvl>
  </w:abstractNum>
  <w:abstractNum w:abstractNumId="1" w15:restartNumberingAfterBreak="0">
    <w:nsid w:val="42F74337"/>
    <w:multiLevelType w:val="hybridMultilevel"/>
    <w:tmpl w:val="D4846C00"/>
    <w:lvl w:ilvl="0" w:tplc="9BC8D06E">
      <w:start w:val="1"/>
      <w:numFmt w:val="bullet"/>
      <w:lvlText w:val="●"/>
      <w:lvlJc w:val="left"/>
      <w:pPr>
        <w:ind w:left="720" w:hanging="360"/>
      </w:pPr>
    </w:lvl>
    <w:lvl w:ilvl="1" w:tplc="A72CD782">
      <w:start w:val="1"/>
      <w:numFmt w:val="bullet"/>
      <w:lvlText w:val="○"/>
      <w:lvlJc w:val="left"/>
      <w:pPr>
        <w:ind w:left="1440" w:hanging="360"/>
      </w:pPr>
    </w:lvl>
    <w:lvl w:ilvl="2" w:tplc="251E41B4">
      <w:start w:val="1"/>
      <w:numFmt w:val="bullet"/>
      <w:lvlText w:val="■"/>
      <w:lvlJc w:val="left"/>
      <w:pPr>
        <w:ind w:left="2160" w:hanging="360"/>
      </w:pPr>
    </w:lvl>
    <w:lvl w:ilvl="3" w:tplc="E3BE9628">
      <w:start w:val="1"/>
      <w:numFmt w:val="bullet"/>
      <w:lvlText w:val="●"/>
      <w:lvlJc w:val="left"/>
      <w:pPr>
        <w:ind w:left="2880" w:hanging="360"/>
      </w:pPr>
    </w:lvl>
    <w:lvl w:ilvl="4" w:tplc="F8186F32">
      <w:start w:val="1"/>
      <w:numFmt w:val="bullet"/>
      <w:lvlText w:val="○"/>
      <w:lvlJc w:val="left"/>
      <w:pPr>
        <w:ind w:left="3600" w:hanging="360"/>
      </w:pPr>
    </w:lvl>
    <w:lvl w:ilvl="5" w:tplc="3E8C0542">
      <w:start w:val="1"/>
      <w:numFmt w:val="bullet"/>
      <w:lvlText w:val="■"/>
      <w:lvlJc w:val="left"/>
      <w:pPr>
        <w:ind w:left="4320" w:hanging="360"/>
      </w:pPr>
    </w:lvl>
    <w:lvl w:ilvl="6" w:tplc="FB14D3D0">
      <w:start w:val="1"/>
      <w:numFmt w:val="bullet"/>
      <w:lvlText w:val="●"/>
      <w:lvlJc w:val="left"/>
      <w:pPr>
        <w:ind w:left="5040" w:hanging="360"/>
      </w:pPr>
    </w:lvl>
    <w:lvl w:ilvl="7" w:tplc="7D128272">
      <w:start w:val="1"/>
      <w:numFmt w:val="bullet"/>
      <w:lvlText w:val="●"/>
      <w:lvlJc w:val="left"/>
      <w:pPr>
        <w:ind w:left="5760" w:hanging="360"/>
      </w:pPr>
    </w:lvl>
    <w:lvl w:ilvl="8" w:tplc="BA0AA8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4A16F4"/>
    <w:multiLevelType w:val="hybridMultilevel"/>
    <w:tmpl w:val="A2B8DBFA"/>
    <w:lvl w:ilvl="0" w:tplc="B6767362">
      <w:start w:val="1"/>
      <w:numFmt w:val="decimal"/>
      <w:lvlText w:val="%1."/>
      <w:lvlJc w:val="left"/>
      <w:pPr>
        <w:ind w:left="540" w:hanging="260"/>
      </w:pPr>
    </w:lvl>
    <w:lvl w:ilvl="1" w:tplc="14185AF6">
      <w:numFmt w:val="decimal"/>
      <w:lvlText w:val=""/>
      <w:lvlJc w:val="left"/>
    </w:lvl>
    <w:lvl w:ilvl="2" w:tplc="024EAC36">
      <w:numFmt w:val="decimal"/>
      <w:lvlText w:val=""/>
      <w:lvlJc w:val="left"/>
    </w:lvl>
    <w:lvl w:ilvl="3" w:tplc="34ECA7E0">
      <w:numFmt w:val="decimal"/>
      <w:lvlText w:val=""/>
      <w:lvlJc w:val="left"/>
    </w:lvl>
    <w:lvl w:ilvl="4" w:tplc="ECC4DE94">
      <w:numFmt w:val="decimal"/>
      <w:lvlText w:val=""/>
      <w:lvlJc w:val="left"/>
    </w:lvl>
    <w:lvl w:ilvl="5" w:tplc="8AC08A6A">
      <w:numFmt w:val="decimal"/>
      <w:lvlText w:val=""/>
      <w:lvlJc w:val="left"/>
    </w:lvl>
    <w:lvl w:ilvl="6" w:tplc="A8043534">
      <w:numFmt w:val="decimal"/>
      <w:lvlText w:val=""/>
      <w:lvlJc w:val="left"/>
    </w:lvl>
    <w:lvl w:ilvl="7" w:tplc="7ECE26CE">
      <w:numFmt w:val="decimal"/>
      <w:lvlText w:val=""/>
      <w:lvlJc w:val="left"/>
    </w:lvl>
    <w:lvl w:ilvl="8" w:tplc="138C3506">
      <w:numFmt w:val="decimal"/>
      <w:lvlText w:val=""/>
      <w:lvlJc w:val="left"/>
    </w:lvl>
  </w:abstractNum>
  <w:num w:numId="1" w16cid:durableId="1842349748">
    <w:abstractNumId w:val="1"/>
    <w:lvlOverride w:ilvl="0">
      <w:startOverride w:val="1"/>
    </w:lvlOverride>
  </w:num>
  <w:num w:numId="2" w16cid:durableId="1762023425">
    <w:abstractNumId w:val="2"/>
    <w:lvlOverride w:ilvl="0">
      <w:startOverride w:val="1"/>
    </w:lvlOverride>
  </w:num>
  <w:num w:numId="3" w16cid:durableId="1127352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DFF"/>
    <w:rsid w:val="00894DFF"/>
    <w:rsid w:val="00BB1287"/>
    <w:rsid w:val="00BB52D0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405D0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B52D0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BB52D0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BB52D0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BB52D0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BB52D0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BB52D0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