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15334A"/>
          <w:left w:val="single" w:sz="0" w:color="15334A"/>
          <w:bottom w:val="single" w:sz="0" w:color="15334A"/>
          <w:right w:val="single" w:sz="0" w:color="15334A"/>
          <w:insideH w:val="single" w:sz="0" w:color="15334A"/>
          <w:insideV w:val="single" w:sz="0" w:color="15334A"/>
        </w:tblBorders>
      </w:tblPr>
      <w:tblGrid>
        <w:gridCol w:w="9639"/>
      </w:tblGrid>
      <w:tr>
        <w:tc>
          <w:tcPr>
            <w:tcW w:type="dxa" w:w="9639"/>
            <w:shd w:fill="15334A"/>
            <w:tcMar>
              <w:top w:w="340" w:type="dxa"/>
              <w:start w:w="280" w:type="dxa"/>
              <w:bottom w:w="340" w:type="dxa"/>
              <w:end w:w="280" w:type="dxa"/>
            </w:tcMar>
          </w:tcPr>
          <w:p>
            <w:pPr>
              <w:jc w:val="left"/>
            </w:pPr>
            <w:r/>
            <w:r>
              <w:rPr>
                <w:rFonts w:ascii="Kanit" w:hAnsi="Kanit" w:eastAsia="Kanit" w:cs="Kanit"/>
                <w:b/>
                <w:color w:val="F4B942"/>
                <w:sz w:val="21"/>
              </w:rPr>
              <w:t>WORLD FERT · SOLUTION DEVELOPMENT</w:t>
            </w:r>
          </w:p>
          <w:p>
            <w:pPr>
              <w:spacing w:before="280"/>
            </w:pPr>
            <w:r>
              <w:rPr>
                <w:rFonts w:ascii="Kanit" w:hAnsi="Kanit" w:eastAsia="Kanit" w:cs="Kanit"/>
                <w:b/>
                <w:color w:val="FFFFFF"/>
                <w:sz w:val="56"/>
              </w:rPr>
              <w:t>Analysis and Design Document</w:t>
            </w:r>
          </w:p>
          <w:p>
            <w:r>
              <w:rPr>
                <w:rFonts w:ascii="Prompt" w:hAnsi="Prompt" w:eastAsia="Prompt" w:cs="Prompt"/>
                <w:b w:val="0"/>
                <w:color w:val="DDEEF3"/>
                <w:sz w:val="26"/>
              </w:rPr>
              <w:t>Stakeholders, Architecture, Decisions, Data and Workflows</w:t>
            </w:r>
          </w:p>
          <w:p>
            <w:pPr>
              <w:spacing w:before="360"/>
            </w:pPr>
            <w:r>
              <w:rPr>
                <w:rFonts w:ascii="Kanit" w:hAnsi="Kanit" w:eastAsia="Kanit" w:cs="Kanit"/>
                <w:b/>
                <w:color w:val="F4B942"/>
                <w:sz w:val="20"/>
              </w:rPr>
              <w:t>SOURCE-ALIGNED CANDIDATE · REVIEW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7D5DC"/>
          <w:left w:val="single" w:sz="6" w:color="C7D5DC"/>
          <w:bottom w:val="single" w:sz="6" w:color="C7D5DC"/>
          <w:right w:val="single" w:sz="6" w:color="C7D5DC"/>
          <w:insideH w:val="single" w:sz="6" w:color="C7D5DC"/>
          <w:insideV w:val="single" w:sz="6" w:color="C7D5DC"/>
        </w:tblBorders>
      </w:tblPr>
      <w:tblGrid>
        <w:gridCol w:w="2381"/>
        <w:gridCol w:w="7258"/>
      </w:tblGrid>
      <w:tr>
        <w:trPr>
          <w:tblHeader w:val="true"/>
          <w:cantSplit/>
        </w:trPr>
        <w:tc>
          <w:tcPr>
            <w:tcW w:type="dxa" w:w="2381"/>
            <w:shd w:fill="2B8C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7258"/>
            <w:shd w:fill="2B8C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38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7"/>
              </w:rPr>
              <w:t>Document ID</w:t>
            </w:r>
          </w:p>
        </w:tc>
        <w:tc>
          <w:tcPr>
            <w:tcW w:type="dxa" w:w="7258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7"/>
              </w:rPr>
              <w:t>WF-SAD-001</w:t>
            </w:r>
          </w:p>
        </w:tc>
      </w:tr>
      <w:tr>
        <w:trPr>
          <w:cantSplit/>
        </w:trPr>
        <w:tc>
          <w:tcPr>
            <w:tcW w:type="dxa" w:w="238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7"/>
              </w:rPr>
              <w:t>Version / Runtime</w:t>
            </w:r>
          </w:p>
        </w:tc>
        <w:tc>
          <w:tcPr>
            <w:tcW w:type="dxa" w:w="725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7"/>
              </w:rPr>
              <w:t>v1.0 candidate / runtime 1.0.1</w:t>
            </w:r>
          </w:p>
        </w:tc>
      </w:tr>
      <w:tr>
        <w:trPr>
          <w:cantSplit/>
        </w:trPr>
        <w:tc>
          <w:tcPr>
            <w:tcW w:type="dxa" w:w="238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7"/>
              </w:rPr>
              <w:t>Date</w:t>
            </w:r>
          </w:p>
        </w:tc>
        <w:tc>
          <w:tcPr>
            <w:tcW w:type="dxa" w:w="7258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7"/>
              </w:rPr>
              <w:t>23 July 2026 / 23 กรกฎาคม 2569</w:t>
            </w:r>
          </w:p>
        </w:tc>
      </w:tr>
      <w:tr>
        <w:trPr>
          <w:cantSplit/>
        </w:trPr>
        <w:tc>
          <w:tcPr>
            <w:tcW w:type="dxa" w:w="238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7"/>
              </w:rPr>
              <w:t>Source commit</w:t>
            </w:r>
          </w:p>
        </w:tc>
        <w:tc>
          <w:tcPr>
            <w:tcW w:type="dxa" w:w="725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7"/>
              </w:rPr>
              <w:t>79a10a28e6a2fba9b65dc85101ff8ab6d784b91c</w:t>
            </w:r>
          </w:p>
        </w:tc>
      </w:tr>
      <w:tr>
        <w:trPr>
          <w:cantSplit/>
        </w:trPr>
        <w:tc>
          <w:tcPr>
            <w:tcW w:type="dxa" w:w="238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7"/>
              </w:rPr>
              <w:t>Source inventory SHA-256</w:t>
            </w:r>
          </w:p>
        </w:tc>
        <w:tc>
          <w:tcPr>
            <w:tcW w:type="dxa" w:w="7258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7"/>
              </w:rPr>
              <w:t>12B9F964C7C90341859EDD6CDDE9B92BA35D797347F2AA64A1134E1E885FC343</w:t>
            </w:r>
          </w:p>
        </w:tc>
      </w:tr>
      <w:tr>
        <w:trPr>
          <w:cantSplit/>
        </w:trPr>
        <w:tc>
          <w:tcPr>
            <w:tcW w:type="dxa" w:w="238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7"/>
              </w:rPr>
              <w:t>Automated evidence</w:t>
            </w:r>
          </w:p>
        </w:tc>
        <w:tc>
          <w:tcPr>
            <w:tcW w:type="dxa" w:w="725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7"/>
              </w:rPr>
              <w:t>2026-07-23T09-56-59-217Z · 10/10 passed · source stable</w:t>
            </w:r>
          </w:p>
        </w:tc>
      </w:tr>
      <w:tr>
        <w:trPr>
          <w:cantSplit/>
        </w:trPr>
        <w:tc>
          <w:tcPr>
            <w:tcW w:type="dxa" w:w="238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7"/>
              </w:rPr>
              <w:t>Status</w:t>
            </w:r>
          </w:p>
        </w:tc>
        <w:tc>
          <w:tcPr>
            <w:tcW w:type="dxa" w:w="7258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7"/>
              </w:rPr>
              <w:t>Review — approval and baseline acceptance 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3D1"/>
          <w:left w:val="single" w:sz="0" w:color="FFF3D1"/>
          <w:bottom w:val="single" w:sz="0" w:color="FFF3D1"/>
          <w:right w:val="single" w:sz="0" w:color="FFF3D1"/>
          <w:insideH w:val="single" w:sz="0" w:color="FFF3D1"/>
          <w:insideV w:val="single" w:sz="0" w:color="FFF3D1"/>
        </w:tblBorders>
      </w:tblPr>
      <w:tblGrid>
        <w:gridCol w:w="198"/>
        <w:gridCol w:w="9441"/>
      </w:tblGrid>
      <w:tr>
        <w:tc>
          <w:tcPr>
            <w:tcW w:type="dxa" w:w="198"/>
            <w:shd w:fill="F4B942"/>
          </w:tcPr>
          <w:p>
            <w:r/>
          </w:p>
        </w:tc>
        <w:tc>
          <w:tcPr>
            <w:tcW w:type="dxa" w:w="9441"/>
            <w:shd w:fill="FFF3D1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Kanit" w:hAnsi="Kanit" w:eastAsia="Kanit" w:cs="Kanit"/>
                <w:b/>
                <w:color w:val="15334A"/>
                <w:sz w:val="19"/>
              </w:rPr>
              <w:t xml:space="preserve">การใช้เอกสาร  </w:t>
            </w:r>
            <w:r>
              <w:rPr>
                <w:rFonts w:ascii="Prompt" w:hAnsi="Prompt" w:eastAsia="Prompt" w:cs="Prompt"/>
                <w:b w:val="0"/>
                <w:color w:val="1C2730"/>
                <w:sz w:val="18"/>
              </w:rPr>
              <w:t>สร้างจาก Markdown และ source evidence ล่าสุดตามนโยบาย latest-document-wins; ห้ามตีความเป็น Approved, Released หรือ ISO certification จนกว่าจะมีผู้มีอำนาจลงนามและรับ baseline.</w:t>
            </w:r>
          </w:p>
        </w:tc>
      </w:tr>
    </w:tbl>
    <w:p>
      <w:pPr>
        <w:spacing w:after="0" w:line="96" w:lineRule="auto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16000" cy="1236724"/>
            <wp:docPr id="1" name="Picture 1" descr="Executive visual — Analysis and Design Document" title="Executive visual — Analysis and Design Docume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runtime-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1236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Prompt" w:hAnsi="Prompt" w:eastAsia="Prompt" w:cs="Prompt"/>
          <w:b w:val="0"/>
          <w:i/>
          <w:color w:val="5B6872"/>
          <w:sz w:val="16"/>
        </w:rPr>
        <w:t>Executive visual — Analysis and Design Document</w:t>
      </w:r>
    </w:p>
    <w:p>
      <w:r>
        <w:br w:type="page"/>
      </w:r>
    </w:p>
    <w:p>
      <w:pPr>
        <w:pStyle w:val="Heading1"/>
        <w:keepNext/>
      </w:pPr>
      <w:r>
        <w:rPr>
          <w:rFonts w:ascii="Kanit" w:hAnsi="Kanit" w:eastAsia="Kanit" w:cs="Kanit"/>
          <w:b/>
          <w:color w:val="15334A"/>
          <w:sz w:val="34"/>
        </w:rPr>
        <w:t>Document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7D5DC"/>
          <w:left w:val="single" w:sz="6" w:color="C7D5DC"/>
          <w:bottom w:val="single" w:sz="6" w:color="C7D5DC"/>
          <w:right w:val="single" w:sz="6" w:color="C7D5DC"/>
          <w:insideH w:val="single" w:sz="6" w:color="C7D5DC"/>
          <w:insideV w:val="single" w:sz="6" w:color="C7D5DC"/>
        </w:tblBorders>
      </w:tblPr>
      <w:tblGrid>
        <w:gridCol w:w="2495"/>
        <w:gridCol w:w="7144"/>
      </w:tblGrid>
      <w:tr>
        <w:trPr>
          <w:tblHeader w:val="true"/>
          <w:cantSplit/>
        </w:trPr>
        <w:tc>
          <w:tcPr>
            <w:tcW w:type="dxa" w:w="2495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รายการ</w:t>
            </w:r>
          </w:p>
        </w:tc>
        <w:tc>
          <w:tcPr>
            <w:tcW w:type="dxa" w:w="7144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2495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Document ID</w:t>
            </w:r>
          </w:p>
        </w:tc>
        <w:tc>
          <w:tcPr>
            <w:tcW w:type="dxa" w:w="714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WF-SAD-001</w:t>
            </w:r>
          </w:p>
        </w:tc>
      </w:tr>
      <w:tr>
        <w:trPr>
          <w:cantSplit/>
        </w:trPr>
        <w:tc>
          <w:tcPr>
            <w:tcW w:type="dxa" w:w="249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Title</w:t>
            </w:r>
          </w:p>
        </w:tc>
        <w:tc>
          <w:tcPr>
            <w:tcW w:type="dxa" w:w="714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Analysis and Design Document</w:t>
            </w:r>
          </w:p>
        </w:tc>
      </w:tr>
      <w:tr>
        <w:trPr>
          <w:cantSplit/>
        </w:trPr>
        <w:tc>
          <w:tcPr>
            <w:tcW w:type="dxa" w:w="2495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Owner</w:t>
            </w:r>
          </w:p>
        </w:tc>
        <w:tc>
          <w:tcPr>
            <w:tcW w:type="dxa" w:w="714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Solution Architect / Business Analyst / Data Architect</w:t>
            </w:r>
          </w:p>
        </w:tc>
      </w:tr>
      <w:tr>
        <w:trPr>
          <w:cantSplit/>
        </w:trPr>
        <w:tc>
          <w:tcPr>
            <w:tcW w:type="dxa" w:w="249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Status</w:t>
            </w:r>
          </w:p>
        </w:tc>
        <w:tc>
          <w:tcPr>
            <w:tcW w:type="dxa" w:w="714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Review — Candidate</w:t>
            </w:r>
          </w:p>
        </w:tc>
      </w:tr>
      <w:tr>
        <w:trPr>
          <w:cantSplit/>
        </w:trPr>
        <w:tc>
          <w:tcPr>
            <w:tcW w:type="dxa" w:w="2495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Classification</w:t>
            </w:r>
          </w:p>
        </w:tc>
        <w:tc>
          <w:tcPr>
            <w:tcW w:type="dxa" w:w="714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Confidential — Client / Authorized Partner Use Only</w:t>
            </w:r>
          </w:p>
        </w:tc>
      </w:tr>
      <w:tr>
        <w:trPr>
          <w:cantSplit/>
        </w:trPr>
        <w:tc>
          <w:tcPr>
            <w:tcW w:type="dxa" w:w="249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Design preset</w:t>
            </w:r>
          </w:p>
        </w:tc>
        <w:tc>
          <w:tcPr>
            <w:tcW w:type="dxa" w:w="714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standard_business_brief · A4 · Prompt/Kanit override</w:t>
            </w:r>
          </w:p>
        </w:tc>
      </w:tr>
      <w:tr>
        <w:trPr>
          <w:cantSplit/>
        </w:trPr>
        <w:tc>
          <w:tcPr>
            <w:tcW w:type="dxa" w:w="2495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Header pattern</w:t>
            </w:r>
          </w:p>
        </w:tc>
        <w:tc>
          <w:tcPr>
            <w:tcW w:type="dxa" w:w="714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memo_masthead</w:t>
            </w:r>
          </w:p>
        </w:tc>
      </w:tr>
      <w:tr>
        <w:trPr>
          <w:cantSplit/>
        </w:trPr>
        <w:tc>
          <w:tcPr>
            <w:tcW w:type="dxa" w:w="249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Generation rule</w:t>
            </w:r>
          </w:p>
        </w:tc>
        <w:tc>
          <w:tcPr>
            <w:tcW w:type="dxa" w:w="714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drift check → source merge → render → QA → human review</w:t>
            </w:r>
          </w:p>
        </w:tc>
      </w:tr>
    </w:tbl>
    <w:p>
      <w:pPr>
        <w:pStyle w:val="Heading2"/>
        <w:keepNext/>
      </w:pPr>
      <w:r>
        <w:rPr>
          <w:rFonts w:ascii="Kanit" w:hAnsi="Kanit" w:eastAsia="Kanit" w:cs="Kanit"/>
          <w:b/>
          <w:color w:val="1B6B88"/>
          <w:sz w:val="27"/>
        </w:rPr>
        <w:t>Revision and approval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7D5DC"/>
          <w:left w:val="single" w:sz="6" w:color="C7D5DC"/>
          <w:bottom w:val="single" w:sz="6" w:color="C7D5DC"/>
          <w:right w:val="single" w:sz="6" w:color="C7D5DC"/>
          <w:insideH w:val="single" w:sz="6" w:color="C7D5DC"/>
          <w:insideV w:val="single" w:sz="6" w:color="C7D5DC"/>
        </w:tblBorders>
      </w:tblPr>
      <w:tblGrid>
        <w:gridCol w:w="1247"/>
        <w:gridCol w:w="1361"/>
        <w:gridCol w:w="3969"/>
        <w:gridCol w:w="1588"/>
        <w:gridCol w:w="1474"/>
      </w:tblGrid>
      <w:tr>
        <w:trPr>
          <w:tblHeader w:val="true"/>
          <w:cantSplit/>
        </w:trPr>
        <w:tc>
          <w:tcPr>
            <w:tcW w:type="dxa" w:w="1247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1361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3969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Change</w:t>
            </w:r>
          </w:p>
        </w:tc>
        <w:tc>
          <w:tcPr>
            <w:tcW w:type="dxa" w:w="1588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Prepared by</w:t>
            </w:r>
          </w:p>
        </w:tc>
        <w:tc>
          <w:tcPr>
            <w:tcW w:type="dxa" w:w="1474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Reviewed / approved</w:t>
            </w:r>
          </w:p>
        </w:tc>
      </w:tr>
      <w:tr>
        <w:trPr>
          <w:cantSplit/>
        </w:trPr>
        <w:tc>
          <w:tcPr>
            <w:tcW w:type="dxa" w:w="1247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v1.0 candidate</w:t>
            </w:r>
          </w:p>
        </w:tc>
        <w:tc>
          <w:tcPr>
            <w:tcW w:type="dxa" w:w="136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2026-07-23</w:t>
            </w:r>
          </w:p>
        </w:tc>
        <w:tc>
          <w:tcPr>
            <w:tcW w:type="dxa" w:w="3969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Rebuilt from source-aligned Markdown, runtime inventory, diagrams and current E2E evidence</w:t>
            </w:r>
          </w:p>
        </w:tc>
        <w:tc>
          <w:tcPr>
            <w:tcW w:type="dxa" w:w="1588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Documentation pipeline</w:t>
            </w:r>
          </w:p>
        </w:tc>
        <w:tc>
          <w:tcPr>
            <w:tcW w:type="dxa" w:w="147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Pending named human approval</w:t>
            </w:r>
          </w:p>
        </w:tc>
      </w:tr>
    </w:tbl>
    <w:p>
      <w:pPr>
        <w:pStyle w:val="Heading1"/>
        <w:keepNext/>
      </w:pPr>
      <w:r>
        <w:rPr>
          <w:rFonts w:ascii="Kanit" w:hAnsi="Kanit" w:eastAsia="Kanit" w:cs="Kanit"/>
          <w:b/>
          <w:color w:val="15334A"/>
          <w:sz w:val="34"/>
        </w:rPr>
        <w:t>Executive source snapshot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7D5DC"/>
          <w:left w:val="single" w:sz="6" w:color="C7D5DC"/>
          <w:bottom w:val="single" w:sz="6" w:color="C7D5DC"/>
          <w:right w:val="single" w:sz="6" w:color="C7D5DC"/>
          <w:insideH w:val="single" w:sz="6" w:color="C7D5DC"/>
          <w:insideV w:val="single" w:sz="6" w:color="C7D5DC"/>
        </w:tblBorders>
      </w:tblPr>
      <w:tblGrid>
        <w:gridCol w:w="1701"/>
        <w:gridCol w:w="4423"/>
        <w:gridCol w:w="3515"/>
      </w:tblGrid>
      <w:tr>
        <w:trPr>
          <w:tblHeader w:val="true"/>
          <w:cantSplit/>
        </w:trPr>
        <w:tc>
          <w:tcPr>
            <w:tcW w:type="dxa" w:w="1701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Evidence area</w:t>
            </w:r>
          </w:p>
        </w:tc>
        <w:tc>
          <w:tcPr>
            <w:tcW w:type="dxa" w:w="4423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Current verified fact</w:t>
            </w:r>
          </w:p>
        </w:tc>
        <w:tc>
          <w:tcPr>
            <w:tcW w:type="dxa" w:w="3515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Boundary</w:t>
            </w:r>
          </w:p>
        </w:tc>
      </w:tr>
      <w:tr>
        <w:trPr>
          <w:cantSplit/>
        </w:trPr>
        <w:tc>
          <w:tcPr>
            <w:tcW w:type="dxa" w:w="170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Runtime</w:t>
            </w:r>
          </w:p>
        </w:tc>
        <w:tc>
          <w:tcPr>
            <w:tcW w:type="dxa" w:w="442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1.0.1 across root/backend/frontend packages</w:t>
            </w:r>
          </w:p>
        </w:tc>
        <w:tc>
          <w:tcPr>
            <w:tcW w:type="dxa" w:w="3515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Development source snapshot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Source</w:t>
            </w:r>
          </w:p>
        </w:tc>
        <w:tc>
          <w:tcPr>
            <w:tcW w:type="dxa" w:w="442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220 files · SHA 12B9F964…FC343 · commit 79a10a28</w:t>
            </w:r>
          </w:p>
        </w:tc>
        <w:tc>
          <w:tcPr>
            <w:tcW w:type="dxa" w:w="351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Dirty worktree remains visible</w:t>
            </w:r>
          </w:p>
        </w:tc>
      </w:tr>
      <w:tr>
        <w:trPr>
          <w:cantSplit/>
        </w:trPr>
        <w:tc>
          <w:tcPr>
            <w:tcW w:type="dxa" w:w="170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Application</w:t>
            </w:r>
          </w:p>
        </w:tc>
        <w:tc>
          <w:tcPr>
            <w:tcW w:type="dxa" w:w="442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22 portals · 8 roles</w:t>
            </w:r>
          </w:p>
        </w:tc>
        <w:tc>
          <w:tcPr>
            <w:tcW w:type="dxa" w:w="3515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Role-specific UAT still required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API</w:t>
            </w:r>
          </w:p>
        </w:tc>
        <w:tc>
          <w:tcPr>
            <w:tcW w:type="dxa" w:w="442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17 route mounts · 160 detected endpoints</w:t>
            </w:r>
          </w:p>
        </w:tc>
        <w:tc>
          <w:tcPr>
            <w:tcW w:type="dxa" w:w="351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Detection is not contract approval</w:t>
            </w:r>
          </w:p>
        </w:tc>
      </w:tr>
      <w:tr>
        <w:trPr>
          <w:cantSplit/>
        </w:trPr>
        <w:tc>
          <w:tcPr>
            <w:tcW w:type="dxa" w:w="170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Data</w:t>
            </w:r>
          </w:p>
        </w:tc>
        <w:tc>
          <w:tcPr>
            <w:tcW w:type="dxa" w:w="442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55 sequenced migrations through 055</w:t>
            </w:r>
          </w:p>
        </w:tc>
        <w:tc>
          <w:tcPr>
            <w:tcW w:type="dxa" w:w="3515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Production migration/restore gate remains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External writes</w:t>
            </w:r>
          </w:p>
        </w:tc>
        <w:tc>
          <w:tcPr>
            <w:tcW w:type="dxa" w:w="442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33 detected dbo writes · 2 TruckScale writes to tbl_keyone</w:t>
            </w:r>
          </w:p>
        </w:tc>
        <w:tc>
          <w:tcPr>
            <w:tcW w:type="dxa" w:w="351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Explicit contract/security review required</w:t>
            </w:r>
          </w:p>
        </w:tc>
      </w:tr>
      <w:tr>
        <w:trPr>
          <w:cantSplit/>
        </w:trPr>
        <w:tc>
          <w:tcPr>
            <w:tcW w:type="dxa" w:w="170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Automated E2E</w:t>
            </w:r>
          </w:p>
        </w:tc>
        <w:tc>
          <w:tcPr>
            <w:tcW w:type="dxa" w:w="442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10/10 passed · stable source · SQL Server/MySQL up</w:t>
            </w:r>
          </w:p>
        </w:tc>
        <w:tc>
          <w:tcPr>
            <w:tcW w:type="dxa" w:w="3515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Not production hardware/manual UAT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DDEEF3"/>
          <w:left w:val="single" w:sz="0" w:color="DDEEF3"/>
          <w:bottom w:val="single" w:sz="0" w:color="DDEEF3"/>
          <w:right w:val="single" w:sz="0" w:color="DDEEF3"/>
          <w:insideH w:val="single" w:sz="0" w:color="DDEEF3"/>
          <w:insideV w:val="single" w:sz="0" w:color="DDEEF3"/>
        </w:tblBorders>
      </w:tblPr>
      <w:tblGrid>
        <w:gridCol w:w="198"/>
        <w:gridCol w:w="9441"/>
      </w:tblGrid>
      <w:tr>
        <w:tc>
          <w:tcPr>
            <w:tcW w:type="dxa" w:w="198"/>
            <w:shd w:fill="1B6B88"/>
          </w:tcPr>
          <w:p>
            <w:r/>
          </w:p>
        </w:tc>
        <w:tc>
          <w:tcPr>
            <w:tcW w:type="dxa" w:w="9441"/>
            <w:shd w:fill="DDEEF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Kanit" w:hAnsi="Kanit" w:eastAsia="Kanit" w:cs="Kanit"/>
                <w:b/>
                <w:color w:val="15334A"/>
                <w:sz w:val="19"/>
              </w:rPr>
              <w:t xml:space="preserve">Evidence interpretation  </w:t>
            </w:r>
            <w:r>
              <w:rPr>
                <w:rFonts w:ascii="Prompt" w:hAnsi="Prompt" w:eastAsia="Prompt" w:cs="Prompt"/>
                <w:b w:val="0"/>
                <w:color w:val="1C2730"/>
                <w:sz w:val="18"/>
              </w:rPr>
              <w:t>ตัวเลขจาก static inventory และ E2E ใช้เพื่อยืนยันความสอดคล้องกับ snapshot ปัจจุบันเท่านั้น การยอมรับ UAT, external write boundary, production readiness และ ISO conformance ต้องมีหลักฐานและผู้อนุมัติแยกต่างหาก.</w:t>
            </w:r>
          </w:p>
        </w:tc>
      </w:tr>
    </w:tbl>
    <w:p>
      <w:pPr>
        <w:spacing w:after="0" w:line="96" w:lineRule="auto"/>
      </w:pPr>
    </w:p>
    <w:p>
      <w:pPr>
        <w:pStyle w:val="Heading1"/>
        <w:keepNext/>
      </w:pPr>
      <w:r>
        <w:rPr>
          <w:rFonts w:ascii="Kanit" w:hAnsi="Kanit" w:eastAsia="Kanit" w:cs="Kanit"/>
          <w:b/>
          <w:color w:val="15334A"/>
          <w:sz w:val="34"/>
        </w:rPr>
        <w:t>Standards alignment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7D5DC"/>
          <w:left w:val="single" w:sz="6" w:color="C7D5DC"/>
          <w:bottom w:val="single" w:sz="6" w:color="C7D5DC"/>
          <w:right w:val="single" w:sz="6" w:color="C7D5DC"/>
          <w:insideH w:val="single" w:sz="6" w:color="C7D5DC"/>
          <w:insideV w:val="single" w:sz="6" w:color="C7D5DC"/>
        </w:tblBorders>
      </w:tblPr>
      <w:tblGrid>
        <w:gridCol w:w="2268"/>
        <w:gridCol w:w="4876"/>
        <w:gridCol w:w="2495"/>
      </w:tblGrid>
      <w:tr>
        <w:trPr>
          <w:tblHeader w:val="true"/>
          <w:cantSplit/>
        </w:trPr>
        <w:tc>
          <w:tcPr>
            <w:tcW w:type="dxa" w:w="2268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Reference</w:t>
            </w:r>
          </w:p>
        </w:tc>
        <w:tc>
          <w:tcPr>
            <w:tcW w:type="dxa" w:w="4876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Use in this information set</w:t>
            </w:r>
          </w:p>
        </w:tc>
        <w:tc>
          <w:tcPr>
            <w:tcW w:type="dxa" w:w="2495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Current document</w:t>
            </w:r>
          </w:p>
        </w:tc>
      </w:tr>
      <w:tr>
        <w:trPr>
          <w:cantSplit/>
        </w:trPr>
        <w:tc>
          <w:tcPr>
            <w:tcW w:type="dxa" w:w="2268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ISO/IEC/IEEE 42010:2022</w:t>
            </w:r>
          </w:p>
        </w:tc>
        <w:tc>
          <w:tcPr>
            <w:tcW w:type="dxa" w:w="4876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Stakeholders, concerns, viewpoints, views and decisions</w:t>
            </w:r>
          </w:p>
        </w:tc>
        <w:tc>
          <w:tcPr>
            <w:tcW w:type="dxa" w:w="2495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Primary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ISO/IEC/IEEE 12207:2026</w:t>
            </w:r>
          </w:p>
        </w:tc>
        <w:tc>
          <w:tcPr>
            <w:tcW w:type="dxa" w:w="487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Life-cycle processes, reviews and evidence flow</w:t>
            </w:r>
          </w:p>
        </w:tc>
        <w:tc>
          <w:tcPr>
            <w:tcW w:type="dxa" w:w="249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Development information set</w:t>
            </w:r>
          </w:p>
        </w:tc>
      </w:tr>
      <w:tr>
        <w:trPr>
          <w:cantSplit/>
        </w:trPr>
        <w:tc>
          <w:tcPr>
            <w:tcW w:type="dxa" w:w="2268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ISO/IEC/IEEE 15289:2019</w:t>
            </w:r>
          </w:p>
        </w:tc>
        <w:tc>
          <w:tcPr>
            <w:tcW w:type="dxa" w:w="4876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Information-item content and document control</w:t>
            </w:r>
          </w:p>
        </w:tc>
        <w:tc>
          <w:tcPr>
            <w:tcW w:type="dxa" w:w="2495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Front matter / source register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ISO/IEC 25010:2023</w:t>
            </w:r>
          </w:p>
        </w:tc>
        <w:tc>
          <w:tcPr>
            <w:tcW w:type="dxa" w:w="487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Product quality characteristics and verification concerns</w:t>
            </w:r>
          </w:p>
        </w:tc>
        <w:tc>
          <w:tcPr>
            <w:tcW w:type="dxa" w:w="249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NFR / architecture / technical gates</w:t>
            </w:r>
          </w:p>
        </w:tc>
      </w:tr>
      <w:tr>
        <w:trPr>
          <w:cantSplit/>
        </w:trPr>
        <w:tc>
          <w:tcPr>
            <w:tcW w:type="dxa" w:w="2268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ISO/IEC/IEEE 29119-3:2021</w:t>
            </w:r>
          </w:p>
        </w:tc>
        <w:tc>
          <w:tcPr>
            <w:tcW w:type="dxa" w:w="4876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Test documentation, cases, results and traceability</w:t>
            </w:r>
          </w:p>
        </w:tc>
        <w:tc>
          <w:tcPr>
            <w:tcW w:type="dxa" w:w="2495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Verification and UAT linkage</w:t>
            </w:r>
          </w:p>
        </w:tc>
      </w:tr>
    </w:tbl>
    <w:p>
      <w:pPr>
        <w:pStyle w:val="Heading1"/>
        <w:keepNext/>
      </w:pPr>
      <w:r>
        <w:rPr>
          <w:rFonts w:ascii="Kanit" w:hAnsi="Kanit" w:eastAsia="Kanit" w:cs="Kanit"/>
          <w:b/>
          <w:color w:val="15334A"/>
          <w:sz w:val="34"/>
        </w:rPr>
        <w:t>Audience and reading path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7D5DC"/>
          <w:left w:val="single" w:sz="6" w:color="C7D5DC"/>
          <w:bottom w:val="single" w:sz="6" w:color="C7D5DC"/>
          <w:right w:val="single" w:sz="6" w:color="C7D5DC"/>
          <w:insideH w:val="single" w:sz="6" w:color="C7D5DC"/>
          <w:insideV w:val="single" w:sz="6" w:color="C7D5DC"/>
        </w:tblBorders>
      </w:tblPr>
      <w:tblGrid>
        <w:gridCol w:w="1984"/>
        <w:gridCol w:w="4026"/>
        <w:gridCol w:w="3629"/>
      </w:tblGrid>
      <w:tr>
        <w:trPr>
          <w:tblHeader w:val="true"/>
          <w:cantSplit/>
        </w:trPr>
        <w:tc>
          <w:tcPr>
            <w:tcW w:type="dxa" w:w="1984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Audience</w:t>
            </w:r>
          </w:p>
        </w:tc>
        <w:tc>
          <w:tcPr>
            <w:tcW w:type="dxa" w:w="4026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Primary concern</w:t>
            </w:r>
          </w:p>
        </w:tc>
        <w:tc>
          <w:tcPr>
            <w:tcW w:type="dxa" w:w="3629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Recommended sections</w:t>
            </w:r>
          </w:p>
        </w:tc>
      </w:tr>
      <w:tr>
        <w:trPr>
          <w:cantSplit/>
        </w:trPr>
        <w:tc>
          <w:tcPr>
            <w:tcW w:type="dxa" w:w="198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Business/process owner</w:t>
            </w:r>
          </w:p>
        </w:tc>
        <w:tc>
          <w:tcPr>
            <w:tcW w:type="dxa" w:w="4026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stakeholders and cross-role process</w:t>
            </w:r>
          </w:p>
        </w:tc>
        <w:tc>
          <w:tcPr>
            <w:tcW w:type="dxa" w:w="3629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Business analysis, workflow, decisions</w:t>
            </w:r>
          </w:p>
        </w:tc>
      </w:tr>
      <w:tr>
        <w:trPr>
          <w:cantSplit/>
        </w:trPr>
        <w:tc>
          <w:tcPr>
            <w:tcW w:type="dxa" w:w="198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Architect / developer</w:t>
            </w:r>
          </w:p>
        </w:tc>
        <w:tc>
          <w:tcPr>
            <w:tcW w:type="dxa" w:w="402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boundaries, components and constraints</w:t>
            </w:r>
          </w:p>
        </w:tc>
        <w:tc>
          <w:tcPr>
            <w:tcW w:type="dxa" w:w="3629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SAD, C4, ADR, UML</w:t>
            </w:r>
          </w:p>
        </w:tc>
      </w:tr>
      <w:tr>
        <w:trPr>
          <w:cantSplit/>
        </w:trPr>
        <w:tc>
          <w:tcPr>
            <w:tcW w:type="dxa" w:w="198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DBA / integration owner</w:t>
            </w:r>
          </w:p>
        </w:tc>
        <w:tc>
          <w:tcPr>
            <w:tcW w:type="dxa" w:w="4026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ownership, data and external contracts</w:t>
            </w:r>
          </w:p>
        </w:tc>
        <w:tc>
          <w:tcPr>
            <w:tcW w:type="dxa" w:w="3629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Data design, ERD, integration decisions</w:t>
            </w:r>
          </w:p>
        </w:tc>
      </w:tr>
      <w:tr>
        <w:trPr>
          <w:cantSplit/>
        </w:trPr>
        <w:tc>
          <w:tcPr>
            <w:tcW w:type="dxa" w:w="198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Operations / audit</w:t>
            </w:r>
          </w:p>
        </w:tc>
        <w:tc>
          <w:tcPr>
            <w:tcW w:type="dxa" w:w="402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risk, evidence and maintainability</w:t>
            </w:r>
          </w:p>
        </w:tc>
        <w:tc>
          <w:tcPr>
            <w:tcW w:type="dxa" w:w="3629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Architecture concerns, decision records</w:t>
            </w:r>
          </w:p>
        </w:tc>
      </w:tr>
    </w:tbl>
    <w:p>
      <w:pPr>
        <w:pStyle w:val="Heading1"/>
        <w:keepNext/>
      </w:pPr>
      <w:r>
        <w:rPr>
          <w:rFonts w:ascii="Kanit" w:hAnsi="Kanit" w:eastAsia="Kanit" w:cs="Kanit"/>
          <w:b/>
          <w:color w:val="15334A"/>
          <w:sz w:val="34"/>
        </w:rPr>
        <w:t>Table of contents</w:t>
      </w:r>
    </w:p>
    <w:p>
      <w:r>
        <w:rPr>
          <w:rFonts w:ascii="Prompt" w:hAnsi="Prompt" w:eastAsia="Prompt" w:cs="Prompt"/>
          <w:color w:val="5B6872"/>
          <w:sz w:val="16"/>
        </w:rPr>
        <w:fldChar w:fldCharType="begin"/>
        <w:instrText xml:space="preserve">TOC \o "1-3" \h \z \u</w:instrText>
        <w:fldChar w:fldCharType="separate"/>
        <w:t>Update field in Word to refresh the table of contents</w:t>
        <w:fldChar w:fldCharType="end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4F8FA"/>
          <w:left w:val="single" w:sz="0" w:color="F4F8FA"/>
          <w:bottom w:val="single" w:sz="0" w:color="F4F8FA"/>
          <w:right w:val="single" w:sz="0" w:color="F4F8FA"/>
          <w:insideH w:val="single" w:sz="0" w:color="F4F8FA"/>
          <w:insideV w:val="single" w:sz="0" w:color="F4F8FA"/>
        </w:tblBorders>
      </w:tblPr>
      <w:tblGrid>
        <w:gridCol w:w="198"/>
        <w:gridCol w:w="9441"/>
      </w:tblGrid>
      <w:tr>
        <w:tc>
          <w:tcPr>
            <w:tcW w:type="dxa" w:w="198"/>
            <w:shd w:fill="2B8C82"/>
          </w:tcPr>
          <w:p>
            <w:r/>
          </w:p>
        </w:tc>
        <w:tc>
          <w:tcPr>
            <w:tcW w:type="dxa" w:w="9441"/>
            <w:shd w:fill="F4F8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Kanit" w:hAnsi="Kanit" w:eastAsia="Kanit" w:cs="Kanit"/>
                <w:b/>
                <w:color w:val="15334A"/>
                <w:sz w:val="19"/>
              </w:rPr>
              <w:t xml:space="preserve">Word field  </w:t>
            </w:r>
            <w:r>
              <w:rPr>
                <w:rFonts w:ascii="Prompt" w:hAnsi="Prompt" w:eastAsia="Prompt" w:cs="Prompt"/>
                <w:b w:val="0"/>
                <w:color w:val="1C2730"/>
                <w:sz w:val="18"/>
              </w:rPr>
              <w:t>เปิดเอกสารใน Microsoft Word แล้วกด Ctrl+A และ F9 เพื่อ refresh สารบัญและจำนวนหน้า.</w:t>
            </w:r>
          </w:p>
        </w:tc>
      </w:tr>
    </w:tbl>
    <w:p>
      <w:pPr>
        <w:spacing w:after="0" w:line="96" w:lineRule="auto"/>
      </w:pPr>
    </w:p>
    <w:p>
      <w:r>
        <w:br w:type="page"/>
      </w:r>
    </w:p>
    <w:p>
      <w:pPr>
        <w:pStyle w:val="Heading1"/>
        <w:keepNext/>
      </w:pPr>
      <w:r>
        <w:rPr>
          <w:rFonts w:ascii="Kanit" w:hAnsi="Kanit" w:eastAsia="Kanit" w:cs="Kanit"/>
          <w:b/>
          <w:color w:val="15334A"/>
          <w:sz w:val="34"/>
        </w:rPr>
        <w:t>Source-aligned diagrams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DDEEF3"/>
          <w:left w:val="single" w:sz="0" w:color="DDEEF3"/>
          <w:bottom w:val="single" w:sz="0" w:color="DDEEF3"/>
          <w:right w:val="single" w:sz="0" w:color="DDEEF3"/>
          <w:insideH w:val="single" w:sz="0" w:color="DDEEF3"/>
          <w:insideV w:val="single" w:sz="0" w:color="DDEEF3"/>
        </w:tblBorders>
      </w:tblPr>
      <w:tblGrid>
        <w:gridCol w:w="198"/>
        <w:gridCol w:w="9441"/>
      </w:tblGrid>
      <w:tr>
        <w:tc>
          <w:tcPr>
            <w:tcW w:type="dxa" w:w="198"/>
            <w:shd w:fill="1B6B88"/>
          </w:tcPr>
          <w:p>
            <w:r/>
          </w:p>
        </w:tc>
        <w:tc>
          <w:tcPr>
            <w:tcW w:type="dxa" w:w="9441"/>
            <w:shd w:fill="DDEEF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Kanit" w:hAnsi="Kanit" w:eastAsia="Kanit" w:cs="Kanit"/>
                <w:b/>
                <w:color w:val="15334A"/>
                <w:sz w:val="19"/>
              </w:rPr>
              <w:t xml:space="preserve">Diagram policy  </w:t>
            </w:r>
            <w:r>
              <w:rPr>
                <w:rFonts w:ascii="Prompt" w:hAnsi="Prompt" w:eastAsia="Prompt" w:cs="Prompt"/>
                <w:b w:val="0"/>
                <w:color w:val="1C2730"/>
                <w:sz w:val="18"/>
              </w:rPr>
              <w:t>ภาพในส่วนนี้สร้างจาก Mermaid source ที่ version-control ได้และ render ใหม่ด้วย Prompt/Kanit policy; แหล่ง Markdown ยังคงเป็นข้อมูลอ้างอิงและภาพต้องผ่าน visual QA ก่อน release.</w:t>
            </w:r>
          </w:p>
        </w:tc>
      </w:tr>
    </w:tbl>
    <w:p>
      <w:pPr>
        <w:spacing w:after="0" w:line="96" w:lineRule="auto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76000" cy="1316001"/>
            <wp:docPr id="2" name="Picture 2" descr="ภาพที่ 1 — Runtime architecture and system boundaries" title="ภาพที่ 1 — Runtime architecture and system boundari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runtime-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3160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Prompt" w:hAnsi="Prompt" w:eastAsia="Prompt" w:cs="Prompt"/>
          <w:b w:val="0"/>
          <w:i/>
          <w:color w:val="5B6872"/>
          <w:sz w:val="16"/>
        </w:rPr>
        <w:t>ภาพที่ 1 — Runtime architecture and system boundaries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76000" cy="2193776"/>
            <wp:docPr id="3" name="Picture 3" descr="ภาพที่ 2 — Operational ERD and evidence relationships" title="ภาพที่ 2 — Operational ERD and evidence relationship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operational-e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193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Prompt" w:hAnsi="Prompt" w:eastAsia="Prompt" w:cs="Prompt"/>
          <w:b w:val="0"/>
          <w:i/>
          <w:color w:val="5B6872"/>
          <w:sz w:val="16"/>
        </w:rPr>
        <w:t>ภาพที่ 2 — Operational ERD and evidence relationships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76000" cy="1435468"/>
            <wp:docPr id="4" name="Picture 4" descr="ภาพที่ 3 — Source-aligned RBAC responsibility map" title="ภาพที่ 3 — Source-aligned RBAC responsibility ma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rbac-source-align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435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Prompt" w:hAnsi="Prompt" w:eastAsia="Prompt" w:cs="Prompt"/>
          <w:b w:val="0"/>
          <w:i/>
          <w:color w:val="5B6872"/>
          <w:sz w:val="16"/>
        </w:rPr>
        <w:t>ภาพที่ 3 — Source-aligned RBAC responsibility map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164308" cy="7379999"/>
            <wp:docPr id="5" name="Picture 5" descr="ภาพที่ 4 — Rebate domain UML" title="ภาพที่ 4 — Rebate domain UM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rebate-domain-um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64308" cy="73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Prompt" w:hAnsi="Prompt" w:eastAsia="Prompt" w:cs="Prompt"/>
          <w:b w:val="0"/>
          <w:i/>
          <w:color w:val="5B6872"/>
          <w:sz w:val="16"/>
        </w:rPr>
        <w:t>ภาพที่ 4 — Rebate domain UML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76000" cy="536530"/>
            <wp:docPr id="6" name="Picture 6" descr="ภาพที่ 5 — Cross-role order-to-cash workflow" title="ภาพที่ 5 — Cross-role order-to-cash workfl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order-to-cash-work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536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Prompt" w:hAnsi="Prompt" w:eastAsia="Prompt" w:cs="Prompt"/>
          <w:b w:val="0"/>
          <w:i/>
          <w:color w:val="5B6872"/>
          <w:sz w:val="16"/>
        </w:rPr>
        <w:t>ภาพที่ 5 — Cross-role order-to-cash workflow</w:t>
      </w:r>
    </w:p>
    <w:p>
      <w:r>
        <w:br w:type="page"/>
      </w:r>
    </w:p>
    <w:p>
      <w:pPr>
        <w:pStyle w:val="Heading1"/>
        <w:keepNext/>
      </w:pPr>
      <w:r>
        <w:rPr>
          <w:rFonts w:ascii="Kanit" w:hAnsi="Kanit" w:eastAsia="Kanit" w:cs="Kanit"/>
          <w:b/>
          <w:color w:val="15334A"/>
          <w:sz w:val="34"/>
        </w:rPr>
        <w:t>Business Analysis Document — Sales Execution &amp; Rebate Platform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4F8FA"/>
          <w:left w:val="single" w:sz="0" w:color="F4F8FA"/>
          <w:bottom w:val="single" w:sz="0" w:color="F4F8FA"/>
          <w:right w:val="single" w:sz="0" w:color="F4F8FA"/>
          <w:insideH w:val="single" w:sz="0" w:color="F4F8FA"/>
          <w:insideV w:val="single" w:sz="0" w:color="F4F8FA"/>
        </w:tblBorders>
      </w:tblPr>
      <w:tblGrid>
        <w:gridCol w:w="198"/>
        <w:gridCol w:w="9441"/>
      </w:tblGrid>
      <w:tr>
        <w:tc>
          <w:tcPr>
            <w:tcW w:type="dxa" w:w="198"/>
            <w:shd w:fill="2B8C82"/>
          </w:tcPr>
          <w:p>
            <w:r/>
          </w:p>
        </w:tc>
        <w:tc>
          <w:tcPr>
            <w:tcW w:type="dxa" w:w="9441"/>
            <w:shd w:fill="F4F8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Kanit" w:hAnsi="Kanit" w:eastAsia="Kanit" w:cs="Kanit"/>
                <w:b/>
                <w:color w:val="15334A"/>
                <w:sz w:val="19"/>
              </w:rPr>
              <w:t xml:space="preserve">Authoritative source  </w:t>
            </w:r>
            <w:r>
              <w:rPr>
                <w:rFonts w:ascii="Prompt" w:hAnsi="Prompt" w:eastAsia="Prompt" w:cs="Prompt"/>
                <w:b w:val="0"/>
                <w:color w:val="1C2730"/>
                <w:sz w:val="18"/>
              </w:rPr>
              <w:t>docs/enterprise/01-BUSINESS-ANALYSIS/BAD-v8.md · SHA-256 1DEB832C9B5D1B425CF369720BBAF04955E934B1F5AB2382E7473F7BEDA2DD71 · merged as Review content</w:t>
            </w:r>
          </w:p>
        </w:tc>
      </w:tr>
    </w:tbl>
    <w:p>
      <w:pPr>
        <w:spacing w:after="0" w:line="96" w:lineRule="auto"/>
      </w:pPr>
    </w:p>
    <w:p>
      <w:pPr>
        <w:pStyle w:val="Heading3"/>
        <w:keepNext/>
      </w:pPr>
      <w:r>
        <w:rPr>
          <w:rFonts w:ascii="Kanit" w:hAnsi="Kanit" w:eastAsia="Kanit" w:cs="Kanit"/>
          <w:b/>
          <w:color w:val="2B8C82"/>
          <w:sz w:val="23"/>
        </w:rPr>
        <w:t>Executive statement</w:t>
      </w:r>
    </w:p>
    <w:p>
      <w:pPr>
        <w:spacing w:after="60"/>
      </w:pPr>
      <w:r>
        <w:rPr>
          <w:rFonts w:ascii="Prompt" w:hAnsi="Prompt" w:eastAsia="Prompt" w:cs="Prompt"/>
          <w:i w:val="0"/>
          <w:color w:val="1C2730"/>
          <w:sz w:val="18"/>
        </w:rPr>
        <w:t>World Fert ต้องการลดงานคีย์ซ้ำ ลดเอกสารสูญหาย ควบคุมการจ่ายสินค้าให้ตรงคำสั่งขาย และทำให้ rebate ตรวจสอบย้อนหลังได้ระดับรายการ โดยไม่กระทบการลงบัญชีเดิมของ Prosoft WINSpeed v9.0</w:t>
      </w:r>
    </w:p>
    <w:p>
      <w:pPr>
        <w:spacing w:after="60"/>
      </w:pPr>
      <w:r>
        <w:rPr>
          <w:rFonts w:ascii="Prompt" w:hAnsi="Prompt" w:eastAsia="Prompt" w:cs="Prompt"/>
          <w:i w:val="0"/>
          <w:color w:val="1C2730"/>
          <w:sz w:val="18"/>
        </w:rPr>
        <w:t>WS-Sale-App จึงเป็น Sales Execution &amp; Control Layer ไม่ใช่การทดแทน ERP ทั้งหมดในระยะแรก</w:t>
      </w:r>
    </w:p>
    <w:p>
      <w:pPr>
        <w:pStyle w:val="Heading3"/>
        <w:keepNext/>
      </w:pPr>
      <w:r>
        <w:rPr>
          <w:rFonts w:ascii="Kanit" w:hAnsi="Kanit" w:eastAsia="Kanit" w:cs="Kanit"/>
          <w:b/>
          <w:color w:val="2B8C82"/>
          <w:sz w:val="23"/>
        </w:rPr>
        <w:t>Business context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C2730"/>
          <w:sz w:val="18"/>
        </w:rPr>
        <w:t>บริษัทผลิตและจำหน่ายปุ๋ยหลายสูตร ขายเป็นตันและรับสินค้าในโรงงาน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C2730"/>
          <w:sz w:val="18"/>
        </w:rPr>
        <w:t>คำสั่งซื้อผ่านฝ่ายขายและ Counter Sales ก่อนเข้าสู่คลัง/โรงงาน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C2730"/>
          <w:sz w:val="18"/>
        </w:rPr>
        <w:t>รถอาจรับสินค้าหลายจุด เช่น สายพาน คลัง และ bulk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C2730"/>
          <w:sz w:val="18"/>
        </w:rPr>
        <w:t>Rebate ตั้งตามสูตร พื้นที่ ระยะเวลา และราคา NET แต่การเคลมเดิมตรวจเอกสารมาก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C2730"/>
          <w:sz w:val="18"/>
        </w:rPr>
        <w:t>WINSpeed ต้องคงความเป็นเจ้าของเอกสารบัญชีและ GL</w:t>
      </w:r>
    </w:p>
    <w:p>
      <w:pPr>
        <w:pStyle w:val="Heading3"/>
        <w:keepNext/>
      </w:pPr>
      <w:r>
        <w:rPr>
          <w:rFonts w:ascii="Kanit" w:hAnsi="Kanit" w:eastAsia="Kanit" w:cs="Kanit"/>
          <w:b/>
          <w:color w:val="2B8C82"/>
          <w:sz w:val="23"/>
        </w:rPr>
        <w:t>AS-IS process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4F8FA"/>
          <w:left w:val="single" w:sz="0" w:color="F4F8FA"/>
          <w:bottom w:val="single" w:sz="0" w:color="F4F8FA"/>
          <w:right w:val="single" w:sz="0" w:color="F4F8FA"/>
          <w:insideH w:val="single" w:sz="0" w:color="F4F8FA"/>
          <w:insideV w:val="single" w:sz="0" w:color="F4F8FA"/>
        </w:tblBorders>
      </w:tblPr>
      <w:tblGrid>
        <w:gridCol w:w="198"/>
        <w:gridCol w:w="9441"/>
      </w:tblGrid>
      <w:tr>
        <w:tc>
          <w:tcPr>
            <w:tcW w:type="dxa" w:w="198"/>
            <w:shd w:fill="2B8C82"/>
          </w:tcPr>
          <w:p>
            <w:r/>
          </w:p>
        </w:tc>
        <w:tc>
          <w:tcPr>
            <w:tcW w:type="dxa" w:w="9441"/>
            <w:shd w:fill="F4F8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Kanit" w:hAnsi="Kanit" w:eastAsia="Kanit" w:cs="Kanit"/>
                <w:b/>
                <w:color w:val="15334A"/>
                <w:sz w:val="19"/>
              </w:rPr>
              <w:t xml:space="preserve">Diagram source  </w:t>
            </w:r>
            <w:r>
              <w:rPr>
                <w:rFonts w:ascii="Prompt" w:hAnsi="Prompt" w:eastAsia="Prompt" w:cs="Prompt"/>
                <w:b w:val="0"/>
                <w:color w:val="1C2730"/>
                <w:sz w:val="18"/>
              </w:rPr>
              <w:t>Mermaid source is retained in Markdown; the reviewed high-resolution rendering is embedded in the figure section.</w:t>
            </w:r>
          </w:p>
        </w:tc>
      </w:tr>
    </w:tbl>
    <w:p>
      <w:pPr>
        <w:spacing w:after="0" w:line="96" w:lineRule="auto"/>
      </w:pPr>
    </w:p>
    <w:p>
      <w:pPr>
        <w:pStyle w:val="Heading3"/>
        <w:keepNext/>
      </w:pPr>
      <w:r>
        <w:rPr>
          <w:rFonts w:ascii="Kanit" w:hAnsi="Kanit" w:eastAsia="Kanit" w:cs="Kanit"/>
          <w:b/>
          <w:color w:val="2B8C82"/>
          <w:sz w:val="23"/>
        </w:rPr>
        <w:t>Pain points ที่ยืนยันแล้ว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7D5DC"/>
          <w:left w:val="single" w:sz="6" w:color="C7D5DC"/>
          <w:bottom w:val="single" w:sz="6" w:color="C7D5DC"/>
          <w:right w:val="single" w:sz="6" w:color="C7D5DC"/>
          <w:insideH w:val="single" w:sz="6" w:color="C7D5DC"/>
          <w:insideV w:val="single" w:sz="6" w:color="C7D5DC"/>
        </w:tblBorders>
      </w:tblPr>
      <w:tblGrid>
        <w:gridCol w:w="1202"/>
        <w:gridCol w:w="2727"/>
        <w:gridCol w:w="1571"/>
        <w:gridCol w:w="4145"/>
      </w:tblGrid>
      <w:tr>
        <w:trPr>
          <w:tblHeader w:val="true"/>
          <w:cantSplit/>
        </w:trPr>
        <w:tc>
          <w:tcPr>
            <w:tcW w:type="dxa" w:w="1202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ID</w:t>
            </w:r>
          </w:p>
        </w:tc>
        <w:tc>
          <w:tcPr>
            <w:tcW w:type="dxa" w:w="2727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ปัญหา</w:t>
            </w:r>
          </w:p>
        </w:tc>
        <w:tc>
          <w:tcPr>
            <w:tcW w:type="dxa" w:w="1571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ผลกระทบ</w:t>
            </w:r>
          </w:p>
        </w:tc>
        <w:tc>
          <w:tcPr>
            <w:tcW w:type="dxa" w:w="4145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เป้าหมาย v7</w:t>
            </w:r>
          </w:p>
        </w:tc>
      </w:tr>
      <w:tr>
        <w:trPr>
          <w:cantSplit/>
        </w:trPr>
        <w:tc>
          <w:tcPr>
            <w:tcW w:type="dxa" w:w="1202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BP-01</w:t>
            </w:r>
          </w:p>
        </w:tc>
        <w:tc>
          <w:tcPr>
            <w:tcW w:type="dxa" w:w="2727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คีย์ order ซ้ำจากแชตไป ERP</w:t>
            </w:r>
          </w:p>
        </w:tc>
        <w:tc>
          <w:tcPr>
            <w:tcW w:type="dxa" w:w="157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ช้าและเกิด error</w:t>
            </w:r>
          </w:p>
        </w:tc>
        <w:tc>
          <w:tcPr>
            <w:tcW w:type="dxa" w:w="4145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POS/tablet-first, validation, draft</w:t>
            </w:r>
          </w:p>
        </w:tc>
      </w:tr>
      <w:tr>
        <w:trPr>
          <w:cantSplit/>
        </w:trPr>
        <w:tc>
          <w:tcPr>
            <w:tcW w:type="dxa" w:w="120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BP-02</w:t>
            </w:r>
          </w:p>
        </w:tc>
        <w:tc>
          <w:tcPr>
            <w:tcW w:type="dxa" w:w="272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เอกสาร 4 สีติดตามยาก/สูญหาย</w:t>
            </w:r>
          </w:p>
        </w:tc>
        <w:tc>
          <w:tcPr>
            <w:tcW w:type="dxa" w:w="157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audit gap</w:t>
            </w:r>
          </w:p>
        </w:tc>
        <w:tc>
          <w:tcPr>
            <w:tcW w:type="dxa" w:w="414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QR, paper trail, alert</w:t>
            </w:r>
          </w:p>
        </w:tc>
      </w:tr>
      <w:tr>
        <w:trPr>
          <w:cantSplit/>
        </w:trPr>
        <w:tc>
          <w:tcPr>
            <w:tcW w:type="dxa" w:w="1202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BP-03</w:t>
            </w:r>
          </w:p>
        </w:tc>
        <w:tc>
          <w:tcPr>
            <w:tcW w:type="dxa" w:w="2727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แก้ SO หลังเริ่มจ่ายสินค้าไม่มี workflow</w:t>
            </w:r>
          </w:p>
        </w:tc>
        <w:tc>
          <w:tcPr>
            <w:tcW w:type="dxa" w:w="157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audit หาย</w:t>
            </w:r>
          </w:p>
        </w:tc>
        <w:tc>
          <w:tcPr>
            <w:tcW w:type="dxa" w:w="4145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Unlock + reversible ledger</w:t>
            </w:r>
          </w:p>
        </w:tc>
      </w:tr>
      <w:tr>
        <w:trPr>
          <w:cantSplit/>
        </w:trPr>
        <w:tc>
          <w:tcPr>
            <w:tcW w:type="dxa" w:w="120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BP-04</w:t>
            </w:r>
          </w:p>
        </w:tc>
        <w:tc>
          <w:tcPr>
            <w:tcW w:type="dxa" w:w="272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Rebate ตรวจทีละ invoice</w:t>
            </w:r>
          </w:p>
        </w:tc>
        <w:tc>
          <w:tcPr>
            <w:tcW w:type="dxa" w:w="157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งาน Accounting สูง</w:t>
            </w:r>
          </w:p>
        </w:tc>
        <w:tc>
          <w:tcPr>
            <w:tcW w:type="dxa" w:w="414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ledger line-level + FIFO</w:t>
            </w:r>
          </w:p>
        </w:tc>
      </w:tr>
      <w:tr>
        <w:trPr>
          <w:cantSplit/>
        </w:trPr>
        <w:tc>
          <w:tcPr>
            <w:tcW w:type="dxa" w:w="1202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BP-05</w:t>
            </w:r>
          </w:p>
        </w:tc>
        <w:tc>
          <w:tcPr>
            <w:tcW w:type="dxa" w:w="2727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ตัด rebate แบบก้อนรวม</w:t>
            </w:r>
          </w:p>
        </w:tc>
        <w:tc>
          <w:tcPr>
            <w:tcW w:type="dxa" w:w="157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trace ต้นทางไม่ได้</w:t>
            </w:r>
          </w:p>
        </w:tc>
        <w:tc>
          <w:tcPr>
            <w:tcW w:type="dxa" w:w="4145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pool + ledger + allocation</w:t>
            </w:r>
          </w:p>
        </w:tc>
      </w:tr>
      <w:tr>
        <w:trPr>
          <w:cantSplit/>
        </w:trPr>
        <w:tc>
          <w:tcPr>
            <w:tcW w:type="dxa" w:w="120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BP-06</w:t>
            </w:r>
          </w:p>
        </w:tc>
        <w:tc>
          <w:tcPr>
            <w:tcW w:type="dxa" w:w="272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ราคา NET/promotion เปลี่ยนบ่อย</w:t>
            </w:r>
          </w:p>
        </w:tc>
        <w:tc>
          <w:tcPr>
            <w:tcW w:type="dxa" w:w="157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execution ไม่ทัน</w:t>
            </w:r>
          </w:p>
        </w:tc>
        <w:tc>
          <w:tcPr>
            <w:tcW w:type="dxa" w:w="414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Price Book + Plan version</w:t>
            </w:r>
          </w:p>
        </w:tc>
      </w:tr>
      <w:tr>
        <w:trPr>
          <w:cantSplit/>
        </w:trPr>
        <w:tc>
          <w:tcPr>
            <w:tcW w:type="dxa" w:w="1202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BP-07</w:t>
            </w:r>
          </w:p>
        </w:tc>
        <w:tc>
          <w:tcPr>
            <w:tcW w:type="dxa" w:w="2727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คลังตีความลำดับแม่/ลูก</w:t>
            </w:r>
          </w:p>
        </w:tc>
        <w:tc>
          <w:tcPr>
            <w:tcW w:type="dxa" w:w="157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โหลดผิด/ช้า</w:t>
            </w:r>
          </w:p>
        </w:tc>
        <w:tc>
          <w:tcPr>
            <w:tcW w:type="dxa" w:w="4145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load sequence ต่อ line</w:t>
            </w:r>
          </w:p>
        </w:tc>
      </w:tr>
      <w:tr>
        <w:trPr>
          <w:cantSplit/>
        </w:trPr>
        <w:tc>
          <w:tcPr>
            <w:tcW w:type="dxa" w:w="120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BP-08</w:t>
            </w:r>
          </w:p>
        </w:tc>
        <w:tc>
          <w:tcPr>
            <w:tcW w:type="dxa" w:w="272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ของแถมอยู่ในหมายเหตุ</w:t>
            </w:r>
          </w:p>
        </w:tc>
        <w:tc>
          <w:tcPr>
            <w:tcW w:type="dxa" w:w="157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ไม่เห็นงบ/สต็อก</w:t>
            </w:r>
          </w:p>
        </w:tc>
        <w:tc>
          <w:tcPr>
            <w:tcW w:type="dxa" w:w="414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giveaway workflow</w:t>
            </w:r>
          </w:p>
        </w:tc>
      </w:tr>
      <w:tr>
        <w:trPr>
          <w:cantSplit/>
        </w:trPr>
        <w:tc>
          <w:tcPr>
            <w:tcW w:type="dxa" w:w="1202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BP-09</w:t>
            </w:r>
          </w:p>
        </w:tc>
        <w:tc>
          <w:tcPr>
            <w:tcW w:type="dxa" w:w="2727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ตั๋วคุมรายชุดดูยาก</w:t>
            </w:r>
          </w:p>
        </w:tc>
        <w:tc>
          <w:tcPr>
            <w:tcW w:type="dxa" w:w="157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ตรวจยอดยาก</w:t>
            </w:r>
          </w:p>
        </w:tc>
        <w:tc>
          <w:tcPr>
            <w:tcW w:type="dxa" w:w="4145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drill-down balance</w:t>
            </w:r>
          </w:p>
        </w:tc>
      </w:tr>
      <w:tr>
        <w:trPr>
          <w:cantSplit/>
        </w:trPr>
        <w:tc>
          <w:tcPr>
            <w:tcW w:type="dxa" w:w="120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BP-10</w:t>
            </w:r>
          </w:p>
        </w:tc>
        <w:tc>
          <w:tcPr>
            <w:tcW w:type="dxa" w:w="272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TruckScale แยกและ data quality ไม่สม่ำเสมอ</w:t>
            </w:r>
          </w:p>
        </w:tc>
        <w:tc>
          <w:tcPr>
            <w:tcW w:type="dxa" w:w="157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integration risk</w:t>
            </w:r>
          </w:p>
        </w:tc>
        <w:tc>
          <w:tcPr>
            <w:tcW w:type="dxa" w:w="414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completed-weigh read-only + controlled tbl_keyone pre-weigh contract/match policy</w:t>
            </w:r>
          </w:p>
        </w:tc>
      </w:tr>
    </w:tbl>
    <w:p>
      <w:pPr>
        <w:pStyle w:val="Heading3"/>
        <w:keepNext/>
      </w:pPr>
      <w:r>
        <w:rPr>
          <w:rFonts w:ascii="Kanit" w:hAnsi="Kanit" w:eastAsia="Kanit" w:cs="Kanit"/>
          <w:b/>
          <w:color w:val="2B8C82"/>
          <w:sz w:val="23"/>
        </w:rPr>
        <w:t>To-Be operating model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4F8FA"/>
          <w:left w:val="single" w:sz="0" w:color="F4F8FA"/>
          <w:bottom w:val="single" w:sz="0" w:color="F4F8FA"/>
          <w:right w:val="single" w:sz="0" w:color="F4F8FA"/>
          <w:insideH w:val="single" w:sz="0" w:color="F4F8FA"/>
          <w:insideV w:val="single" w:sz="0" w:color="F4F8FA"/>
        </w:tblBorders>
      </w:tblPr>
      <w:tblGrid>
        <w:gridCol w:w="198"/>
        <w:gridCol w:w="9441"/>
      </w:tblGrid>
      <w:tr>
        <w:tc>
          <w:tcPr>
            <w:tcW w:type="dxa" w:w="198"/>
            <w:shd w:fill="2B8C82"/>
          </w:tcPr>
          <w:p>
            <w:r/>
          </w:p>
        </w:tc>
        <w:tc>
          <w:tcPr>
            <w:tcW w:type="dxa" w:w="9441"/>
            <w:shd w:fill="F4F8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Kanit" w:hAnsi="Kanit" w:eastAsia="Kanit" w:cs="Kanit"/>
                <w:b/>
                <w:color w:val="15334A"/>
                <w:sz w:val="19"/>
              </w:rPr>
              <w:t xml:space="preserve">Diagram source  </w:t>
            </w:r>
            <w:r>
              <w:rPr>
                <w:rFonts w:ascii="Prompt" w:hAnsi="Prompt" w:eastAsia="Prompt" w:cs="Prompt"/>
                <w:b w:val="0"/>
                <w:color w:val="1C2730"/>
                <w:sz w:val="18"/>
              </w:rPr>
              <w:t>Mermaid source is retained in Markdown; the reviewed high-resolution rendering is embedded in the figure section.</w:t>
            </w:r>
          </w:p>
        </w:tc>
      </w:tr>
    </w:tbl>
    <w:p>
      <w:pPr>
        <w:spacing w:after="0" w:line="96" w:lineRule="auto"/>
      </w:pPr>
    </w:p>
    <w:p>
      <w:pPr>
        <w:pStyle w:val="Heading3"/>
        <w:keepNext/>
      </w:pPr>
      <w:r>
        <w:rPr>
          <w:rFonts w:ascii="Kanit" w:hAnsi="Kanit" w:eastAsia="Kanit" w:cs="Kanit"/>
          <w:b/>
          <w:color w:val="2B8C82"/>
          <w:sz w:val="23"/>
        </w:rPr>
        <w:t>Business outcomes and KPI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7D5DC"/>
          <w:left w:val="single" w:sz="6" w:color="C7D5DC"/>
          <w:bottom w:val="single" w:sz="6" w:color="C7D5DC"/>
          <w:right w:val="single" w:sz="6" w:color="C7D5DC"/>
          <w:insideH w:val="single" w:sz="6" w:color="C7D5DC"/>
          <w:insideV w:val="single" w:sz="6" w:color="C7D5DC"/>
        </w:tblBorders>
      </w:tblPr>
      <w:tblGrid>
        <w:gridCol w:w="3334"/>
        <w:gridCol w:w="6305"/>
      </w:tblGrid>
      <w:tr>
        <w:trPr>
          <w:tblHeader w:val="true"/>
          <w:cantSplit/>
        </w:trPr>
        <w:tc>
          <w:tcPr>
            <w:tcW w:type="dxa" w:w="3334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Outcome</w:t>
            </w:r>
          </w:p>
        </w:tc>
        <w:tc>
          <w:tcPr>
            <w:tcW w:type="dxa" w:w="6305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KPI</w:t>
            </w:r>
          </w:p>
        </w:tc>
      </w:tr>
      <w:tr>
        <w:trPr>
          <w:cantSplit/>
        </w:trPr>
        <w:tc>
          <w:tcPr>
            <w:tcW w:type="dxa" w:w="333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ลดเวลาคีย์/ตรวจ SO</w:t>
            </w:r>
          </w:p>
        </w:tc>
        <w:tc>
          <w:tcPr>
            <w:tcW w:type="dxa" w:w="6305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median create-to-confirm time, rework rate</w:t>
            </w:r>
          </w:p>
        </w:tc>
      </w:tr>
      <w:tr>
        <w:trPr>
          <w:cantSplit/>
        </w:trPr>
        <w:tc>
          <w:tcPr>
            <w:tcW w:type="dxa" w:w="333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ลดภาระ rebate</w:t>
            </w:r>
          </w:p>
        </w:tc>
        <w:tc>
          <w:tcPr>
            <w:tcW w:type="dxa" w:w="630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claim-review time, % traceable automatically</w:t>
            </w:r>
          </w:p>
        </w:tc>
      </w:tr>
      <w:tr>
        <w:trPr>
          <w:cantSplit/>
        </w:trPr>
        <w:tc>
          <w:tcPr>
            <w:tcW w:type="dxa" w:w="333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ลดเอกสารสูญหาย</w:t>
            </w:r>
          </w:p>
        </w:tc>
        <w:tc>
          <w:tcPr>
            <w:tcW w:type="dxa" w:w="6305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open/lost paper-copy count and aging</w:t>
            </w:r>
          </w:p>
        </w:tc>
      </w:tr>
      <w:tr>
        <w:trPr>
          <w:cantSplit/>
        </w:trPr>
        <w:tc>
          <w:tcPr>
            <w:tcW w:type="dxa" w:w="333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ควบคุมการจ่าย</w:t>
            </w:r>
          </w:p>
        </w:tc>
        <w:tc>
          <w:tcPr>
            <w:tcW w:type="dxa" w:w="630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% shipped SO with verification, weight and audit</w:t>
            </w:r>
          </w:p>
        </w:tc>
      </w:tr>
      <w:tr>
        <w:trPr>
          <w:cantSplit/>
        </w:trPr>
        <w:tc>
          <w:tcPr>
            <w:tcW w:type="dxa" w:w="333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รักษาบัญชี</w:t>
            </w:r>
          </w:p>
        </w:tc>
        <w:tc>
          <w:tcPr>
            <w:tcW w:type="dxa" w:w="6305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reconciliation pass rate with WINSpeed</w:t>
            </w:r>
          </w:p>
        </w:tc>
      </w:tr>
      <w:tr>
        <w:trPr>
          <w:cantSplit/>
        </w:trPr>
        <w:tc>
          <w:tcPr>
            <w:tcW w:type="dxa" w:w="333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ควบคุม promotion</w:t>
            </w:r>
          </w:p>
        </w:tc>
        <w:tc>
          <w:tcPr>
            <w:tcW w:type="dxa" w:w="630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plan budget variance / giveaway exception</w:t>
            </w:r>
          </w:p>
        </w:tc>
      </w:tr>
      <w:tr>
        <w:trPr>
          <w:cantSplit/>
        </w:trPr>
        <w:tc>
          <w:tcPr>
            <w:tcW w:type="dxa" w:w="333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ตัดสินใจเร็ว</w:t>
            </w:r>
          </w:p>
        </w:tc>
        <w:tc>
          <w:tcPr>
            <w:tcW w:type="dxa" w:w="6305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dashboard freshness / queue aging</w:t>
            </w:r>
          </w:p>
        </w:tc>
      </w:tr>
    </w:tbl>
    <w:p>
      <w:pPr>
        <w:pStyle w:val="Heading3"/>
        <w:keepNext/>
      </w:pPr>
      <w:r>
        <w:rPr>
          <w:rFonts w:ascii="Kanit" w:hAnsi="Kanit" w:eastAsia="Kanit" w:cs="Kanit"/>
          <w:b/>
          <w:color w:val="2B8C82"/>
          <w:sz w:val="23"/>
        </w:rPr>
        <w:t>Scope baseline</w:t>
      </w:r>
    </w:p>
    <w:p>
      <w:pPr>
        <w:pStyle w:val="Heading4"/>
        <w:keepNext/>
      </w:pPr>
      <w:r>
        <w:rPr>
          <w:rFonts w:ascii="Kanit" w:hAnsi="Kanit" w:eastAsia="Kanit" w:cs="Kanit"/>
          <w:b/>
          <w:color w:val="1C2730"/>
          <w:sz w:val="21"/>
        </w:rPr>
        <w:t>In scope</w:t>
      </w:r>
    </w:p>
    <w:p>
      <w:pPr>
        <w:pStyle w:val="ListNumber"/>
        <w:numPr>
          <w:numId w:val="10"/>
        </w:numPr>
        <w:spacing w:after="40"/>
      </w:pPr>
      <w:r>
        <w:rPr>
          <w:rFonts w:ascii="Prompt" w:hAnsi="Prompt" w:eastAsia="Prompt" w:cs="Prompt"/>
          <w:color w:val="1C2730"/>
          <w:sz w:val="18"/>
        </w:rPr>
        <w:t>Sales order, quotation-to-SO and Verification workflow</w:t>
      </w:r>
    </w:p>
    <w:p>
      <w:pPr>
        <w:pStyle w:val="ListNumber"/>
        <w:numPr>
          <w:numId w:val="10"/>
        </w:numPr>
        <w:spacing w:after="40"/>
      </w:pPr>
      <w:r>
        <w:rPr>
          <w:rFonts w:ascii="Prompt" w:hAnsi="Prompt" w:eastAsia="Prompt" w:cs="Prompt"/>
          <w:color w:val="1C2730"/>
          <w:sz w:val="18"/>
        </w:rPr>
        <w:t>Mother/baby load sequencing</w:t>
      </w:r>
    </w:p>
    <w:p>
      <w:pPr>
        <w:pStyle w:val="ListNumber"/>
        <w:numPr>
          <w:numId w:val="10"/>
        </w:numPr>
        <w:spacing w:after="40"/>
      </w:pPr>
      <w:r>
        <w:rPr>
          <w:rFonts w:ascii="Prompt" w:hAnsi="Prompt" w:eastAsia="Prompt" w:cs="Prompt"/>
          <w:color w:val="1C2730"/>
          <w:sz w:val="18"/>
        </w:rPr>
        <w:t>Rebate plan, allocation, accrual, FIFO, claim and CN evidence</w:t>
      </w:r>
    </w:p>
    <w:p>
      <w:pPr>
        <w:pStyle w:val="ListNumber"/>
        <w:numPr>
          <w:numId w:val="10"/>
        </w:numPr>
        <w:spacing w:after="40"/>
      </w:pPr>
      <w:r>
        <w:rPr>
          <w:rFonts w:ascii="Prompt" w:hAnsi="Prompt" w:eastAsia="Prompt" w:cs="Prompt"/>
          <w:color w:val="1C2730"/>
          <w:sz w:val="18"/>
        </w:rPr>
        <w:t>Giveaway budget/withdrawal</w:t>
      </w:r>
    </w:p>
    <w:p>
      <w:pPr>
        <w:pStyle w:val="ListNumber"/>
        <w:numPr>
          <w:numId w:val="10"/>
        </w:numPr>
        <w:spacing w:after="40"/>
      </w:pPr>
      <w:r>
        <w:rPr>
          <w:rFonts w:ascii="Prompt" w:hAnsi="Prompt" w:eastAsia="Prompt" w:cs="Prompt"/>
          <w:color w:val="1C2730"/>
          <w:sz w:val="18"/>
        </w:rPr>
        <w:t>Control-ticket balance and report</w:t>
      </w:r>
    </w:p>
    <w:p>
      <w:pPr>
        <w:pStyle w:val="ListNumber"/>
        <w:numPr>
          <w:numId w:val="10"/>
        </w:numPr>
        <w:spacing w:after="40"/>
      </w:pPr>
      <w:r>
        <w:rPr>
          <w:rFonts w:ascii="Prompt" w:hAnsi="Prompt" w:eastAsia="Prompt" w:cs="Prompt"/>
          <w:color w:val="1C2730"/>
          <w:sz w:val="18"/>
        </w:rPr>
        <w:t>Weigh-out capture, TruckScale lookup and manual fallback</w:t>
      </w:r>
    </w:p>
    <w:p>
      <w:pPr>
        <w:pStyle w:val="ListNumber"/>
        <w:numPr>
          <w:numId w:val="10"/>
        </w:numPr>
        <w:spacing w:after="40"/>
      </w:pPr>
      <w:r>
        <w:rPr>
          <w:rFonts w:ascii="Prompt" w:hAnsi="Prompt" w:eastAsia="Prompt" w:cs="Prompt"/>
          <w:color w:val="1C2730"/>
          <w:sz w:val="18"/>
        </w:rPr>
        <w:t>Paper Trail, QR and audit</w:t>
      </w:r>
    </w:p>
    <w:p>
      <w:pPr>
        <w:pStyle w:val="ListNumber"/>
        <w:numPr>
          <w:numId w:val="10"/>
        </w:numPr>
        <w:spacing w:after="40"/>
      </w:pPr>
      <w:r>
        <w:rPr>
          <w:rFonts w:ascii="Prompt" w:hAnsi="Prompt" w:eastAsia="Prompt" w:cs="Prompt"/>
          <w:color w:val="1C2730"/>
          <w:sz w:val="18"/>
        </w:rPr>
        <w:t>Dashboard, reports, RBAC, security and operations</w:t>
      </w:r>
    </w:p>
    <w:p>
      <w:pPr>
        <w:pStyle w:val="Heading4"/>
        <w:keepNext/>
      </w:pPr>
      <w:r>
        <w:rPr>
          <w:rFonts w:ascii="Kanit" w:hAnsi="Kanit" w:eastAsia="Kanit" w:cs="Kanit"/>
          <w:b/>
          <w:color w:val="1C2730"/>
          <w:sz w:val="21"/>
        </w:rPr>
        <w:t>Out of scope unless separately approved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C2730"/>
          <w:sz w:val="18"/>
        </w:rPr>
        <w:t>full factory production/MRP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C2730"/>
          <w:sz w:val="18"/>
        </w:rPr>
        <w:t>Gate Pass replacement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C2730"/>
          <w:sz w:val="18"/>
        </w:rPr>
        <w:t>TruckScale hardware/serial controller replacement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C2730"/>
          <w:sz w:val="18"/>
        </w:rPr>
        <w:t>full LINE LIFF application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C2730"/>
          <w:sz w:val="18"/>
        </w:rPr>
        <w:t>lot/expiry traceability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C2730"/>
          <w:sz w:val="18"/>
        </w:rPr>
        <w:t>changes to WINSpeed GL/accounting logic</w:t>
      </w:r>
    </w:p>
    <w:p>
      <w:pPr>
        <w:pStyle w:val="Heading3"/>
        <w:keepNext/>
      </w:pPr>
      <w:r>
        <w:rPr>
          <w:rFonts w:ascii="Kanit" w:hAnsi="Kanit" w:eastAsia="Kanit" w:cs="Kanit"/>
          <w:b/>
          <w:color w:val="2B8C82"/>
          <w:sz w:val="23"/>
        </w:rPr>
        <w:t>Critical decision gates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7D5DC"/>
          <w:left w:val="single" w:sz="6" w:color="C7D5DC"/>
          <w:bottom w:val="single" w:sz="6" w:color="C7D5DC"/>
          <w:right w:val="single" w:sz="6" w:color="C7D5DC"/>
          <w:insideH w:val="single" w:sz="6" w:color="C7D5DC"/>
          <w:insideV w:val="single" w:sz="6" w:color="C7D5DC"/>
        </w:tblBorders>
      </w:tblPr>
      <w:tblGrid>
        <w:gridCol w:w="2041"/>
        <w:gridCol w:w="4116"/>
        <w:gridCol w:w="3481"/>
      </w:tblGrid>
      <w:tr>
        <w:trPr>
          <w:tblHeader w:val="true"/>
          <w:cantSplit/>
        </w:trPr>
        <w:tc>
          <w:tcPr>
            <w:tcW w:type="dxa" w:w="2041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4116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Decision required</w:t>
            </w:r>
          </w:p>
        </w:tc>
        <w:tc>
          <w:tcPr>
            <w:tcW w:type="dxa" w:w="3481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Owner</w:t>
            </w:r>
          </w:p>
        </w:tc>
      </w:tr>
      <w:tr>
        <w:trPr>
          <w:cantSplit/>
        </w:trPr>
        <w:tc>
          <w:tcPr>
            <w:tcW w:type="dxa" w:w="204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DG-01</w:t>
            </w:r>
          </w:p>
        </w:tc>
        <w:tc>
          <w:tcPr>
            <w:tcW w:type="dxa" w:w="4116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WINSpeed write boundary</w:t>
            </w:r>
          </w:p>
        </w:tc>
        <w:tc>
          <w:tcPr>
            <w:tcW w:type="dxa" w:w="348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Executive + IT + Accounting</w:t>
            </w:r>
          </w:p>
        </w:tc>
      </w:tr>
      <w:tr>
        <w:trPr>
          <w:cantSplit/>
        </w:trPr>
        <w:tc>
          <w:tcPr>
            <w:tcW w:type="dxa" w:w="204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DG-02</w:t>
            </w:r>
          </w:p>
        </w:tc>
        <w:tc>
          <w:tcPr>
            <w:tcW w:type="dxa" w:w="411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Canonical TruckScale source</w:t>
            </w:r>
          </w:p>
        </w:tc>
        <w:tc>
          <w:tcPr>
            <w:tcW w:type="dxa" w:w="348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IT + Factory</w:t>
            </w:r>
          </w:p>
        </w:tc>
      </w:tr>
      <w:tr>
        <w:trPr>
          <w:cantSplit/>
        </w:trPr>
        <w:tc>
          <w:tcPr>
            <w:tcW w:type="dxa" w:w="204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DG-03</w:t>
            </w:r>
          </w:p>
        </w:tc>
        <w:tc>
          <w:tcPr>
            <w:tcW w:type="dxa" w:w="4116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Credit Hold: build/defer</w:t>
            </w:r>
          </w:p>
        </w:tc>
        <w:tc>
          <w:tcPr>
            <w:tcW w:type="dxa" w:w="348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Sales + Accounting</w:t>
            </w:r>
          </w:p>
        </w:tc>
      </w:tr>
      <w:tr>
        <w:trPr>
          <w:cantSplit/>
        </w:trPr>
        <w:tc>
          <w:tcPr>
            <w:tcW w:type="dxa" w:w="204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DG-04</w:t>
            </w:r>
          </w:p>
        </w:tc>
        <w:tc>
          <w:tcPr>
            <w:tcW w:type="dxa" w:w="411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Stock source and reservation method</w:t>
            </w:r>
          </w:p>
        </w:tc>
        <w:tc>
          <w:tcPr>
            <w:tcW w:type="dxa" w:w="348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Warehouse + Finance</w:t>
            </w:r>
          </w:p>
        </w:tc>
      </w:tr>
      <w:tr>
        <w:trPr>
          <w:cantSplit/>
        </w:trPr>
        <w:tc>
          <w:tcPr>
            <w:tcW w:type="dxa" w:w="204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DG-05</w:t>
            </w:r>
          </w:p>
        </w:tc>
        <w:tc>
          <w:tcPr>
            <w:tcW w:type="dxa" w:w="4116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Approval authority thresholds</w:t>
            </w:r>
          </w:p>
        </w:tc>
        <w:tc>
          <w:tcPr>
            <w:tcW w:type="dxa" w:w="348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Management</w:t>
            </w:r>
          </w:p>
        </w:tc>
      </w:tr>
      <w:tr>
        <w:trPr>
          <w:cantSplit/>
        </w:trPr>
        <w:tc>
          <w:tcPr>
            <w:tcW w:type="dxa" w:w="204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DG-06</w:t>
            </w:r>
          </w:p>
        </w:tc>
        <w:tc>
          <w:tcPr>
            <w:tcW w:type="dxa" w:w="411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Privacy/document retention</w:t>
            </w:r>
          </w:p>
        </w:tc>
        <w:tc>
          <w:tcPr>
            <w:tcW w:type="dxa" w:w="348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Management + QMR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Kanit" w:hAnsi="Kanit" w:eastAsia="Kanit" w:cs="Kanit"/>
          <w:b/>
          <w:color w:val="15334A"/>
          <w:sz w:val="34"/>
        </w:rPr>
        <w:t>Stakeholder Map, RACI และ Approval Authority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4F8FA"/>
          <w:left w:val="single" w:sz="0" w:color="F4F8FA"/>
          <w:bottom w:val="single" w:sz="0" w:color="F4F8FA"/>
          <w:right w:val="single" w:sz="0" w:color="F4F8FA"/>
          <w:insideH w:val="single" w:sz="0" w:color="F4F8FA"/>
          <w:insideV w:val="single" w:sz="0" w:color="F4F8FA"/>
        </w:tblBorders>
      </w:tblPr>
      <w:tblGrid>
        <w:gridCol w:w="198"/>
        <w:gridCol w:w="9441"/>
      </w:tblGrid>
      <w:tr>
        <w:tc>
          <w:tcPr>
            <w:tcW w:type="dxa" w:w="198"/>
            <w:shd w:fill="2B8C82"/>
          </w:tcPr>
          <w:p>
            <w:r/>
          </w:p>
        </w:tc>
        <w:tc>
          <w:tcPr>
            <w:tcW w:type="dxa" w:w="9441"/>
            <w:shd w:fill="F4F8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Kanit" w:hAnsi="Kanit" w:eastAsia="Kanit" w:cs="Kanit"/>
                <w:b/>
                <w:color w:val="15334A"/>
                <w:sz w:val="19"/>
              </w:rPr>
              <w:t xml:space="preserve">Authoritative source  </w:t>
            </w:r>
            <w:r>
              <w:rPr>
                <w:rFonts w:ascii="Prompt" w:hAnsi="Prompt" w:eastAsia="Prompt" w:cs="Prompt"/>
                <w:b w:val="0"/>
                <w:color w:val="1C2730"/>
                <w:sz w:val="18"/>
              </w:rPr>
              <w:t>docs/enterprise/01-BUSINESS-ANALYSIS/RACI-AND-STAKEHOLDERS.md · SHA-256 52D22376C6B1D1CC28DCF1D6DAB6F872970894A137313C7FEF52F206A9395798 · merged as Review content</w:t>
            </w:r>
          </w:p>
        </w:tc>
      </w:tr>
    </w:tbl>
    <w:p>
      <w:pPr>
        <w:spacing w:after="0" w:line="96" w:lineRule="auto"/>
      </w:pPr>
    </w:p>
    <w:p>
      <w:pPr>
        <w:pStyle w:val="Heading3"/>
        <w:keepNext/>
      </w:pPr>
      <w:r>
        <w:rPr>
          <w:rFonts w:ascii="Kanit" w:hAnsi="Kanit" w:eastAsia="Kanit" w:cs="Kanit"/>
          <w:b/>
          <w:color w:val="2B8C82"/>
          <w:sz w:val="23"/>
        </w:rPr>
        <w:t>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7D5DC"/>
          <w:left w:val="single" w:sz="6" w:color="C7D5DC"/>
          <w:bottom w:val="single" w:sz="6" w:color="C7D5DC"/>
          <w:right w:val="single" w:sz="6" w:color="C7D5DC"/>
          <w:insideH w:val="single" w:sz="6" w:color="C7D5DC"/>
          <w:insideV w:val="single" w:sz="6" w:color="C7D5DC"/>
        </w:tblBorders>
      </w:tblPr>
      <w:tblGrid>
        <w:gridCol w:w="3204"/>
        <w:gridCol w:w="6435"/>
      </w:tblGrid>
      <w:tr>
        <w:trPr>
          <w:tblHeader w:val="true"/>
          <w:cantSplit/>
        </w:trPr>
        <w:tc>
          <w:tcPr>
            <w:tcW w:type="dxa" w:w="3204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6435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Responsibility</w:t>
            </w:r>
          </w:p>
        </w:tc>
      </w:tr>
      <w:tr>
        <w:trPr>
          <w:cantSplit/>
        </w:trPr>
        <w:tc>
          <w:tcPr>
            <w:tcW w:type="dxa" w:w="320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SALES</w:t>
            </w:r>
          </w:p>
        </w:tc>
        <w:tc>
          <w:tcPr>
            <w:tcW w:type="dxa" w:w="6435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สร้าง SO, rebate/claim, request unlock</w:t>
            </w:r>
          </w:p>
        </w:tc>
      </w:tr>
      <w:tr>
        <w:trPr>
          <w:cantSplit/>
        </w:trPr>
        <w:tc>
          <w:tcPr>
            <w:tcW w:type="dxa" w:w="320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COUNTER_SALES</w:t>
            </w:r>
          </w:p>
        </w:tc>
        <w:tc>
          <w:tcPr>
            <w:tcW w:type="dxa" w:w="643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verify SO, print/control documents</w:t>
            </w:r>
          </w:p>
        </w:tc>
      </w:tr>
      <w:tr>
        <w:trPr>
          <w:cantSplit/>
        </w:trPr>
        <w:tc>
          <w:tcPr>
            <w:tcW w:type="dxa" w:w="320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WAREHOUSE</w:t>
            </w:r>
          </w:p>
        </w:tc>
        <w:tc>
          <w:tcPr>
            <w:tcW w:type="dxa" w:w="6435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picking/load sequence</w:t>
            </w:r>
          </w:p>
        </w:tc>
      </w:tr>
      <w:tr>
        <w:trPr>
          <w:cantSplit/>
        </w:trPr>
        <w:tc>
          <w:tcPr>
            <w:tcW w:type="dxa" w:w="320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WEIGHBRIDGE</w:t>
            </w:r>
          </w:p>
        </w:tc>
        <w:tc>
          <w:tcPr>
            <w:tcW w:type="dxa" w:w="643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weight/source validation/ship</w:t>
            </w:r>
          </w:p>
        </w:tc>
      </w:tr>
      <w:tr>
        <w:trPr>
          <w:cantSplit/>
        </w:trPr>
        <w:tc>
          <w:tcPr>
            <w:tcW w:type="dxa" w:w="320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APPROVER</w:t>
            </w:r>
          </w:p>
        </w:tc>
        <w:tc>
          <w:tcPr>
            <w:tcW w:type="dxa" w:w="6435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unlock/exception/plan approval</w:t>
            </w:r>
          </w:p>
        </w:tc>
      </w:tr>
      <w:tr>
        <w:trPr>
          <w:cantSplit/>
        </w:trPr>
        <w:tc>
          <w:tcPr>
            <w:tcW w:type="dxa" w:w="320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ACCOUNTING</w:t>
            </w:r>
          </w:p>
        </w:tc>
        <w:tc>
          <w:tcPr>
            <w:tcW w:type="dxa" w:w="643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claim/CN/reconciliation</w:t>
            </w:r>
          </w:p>
        </w:tc>
      </w:tr>
      <w:tr>
        <w:trPr>
          <w:cantSplit/>
        </w:trPr>
        <w:tc>
          <w:tcPr>
            <w:tcW w:type="dxa" w:w="320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ADMIN</w:t>
            </w:r>
          </w:p>
        </w:tc>
        <w:tc>
          <w:tcPr>
            <w:tcW w:type="dxa" w:w="6435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users/master/configuration</w:t>
            </w:r>
          </w:p>
        </w:tc>
      </w:tr>
      <w:tr>
        <w:trPr>
          <w:cantSplit/>
        </w:trPr>
        <w:tc>
          <w:tcPr>
            <w:tcW w:type="dxa" w:w="320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MANAGER</w:t>
            </w:r>
          </w:p>
        </w:tc>
        <w:tc>
          <w:tcPr>
            <w:tcW w:type="dxa" w:w="643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plan/budget/report policy</w:t>
            </w:r>
          </w:p>
        </w:tc>
      </w:tr>
      <w:tr>
        <w:trPr>
          <w:cantSplit/>
        </w:trPr>
        <w:tc>
          <w:tcPr>
            <w:tcW w:type="dxa" w:w="320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IT/DBA</w:t>
            </w:r>
          </w:p>
        </w:tc>
        <w:tc>
          <w:tcPr>
            <w:tcW w:type="dxa" w:w="6435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infrastructure/security/backup</w:t>
            </w:r>
          </w:p>
        </w:tc>
      </w:tr>
      <w:tr>
        <w:trPr>
          <w:cantSplit/>
        </w:trPr>
        <w:tc>
          <w:tcPr>
            <w:tcW w:type="dxa" w:w="320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EXECUTIVE</w:t>
            </w:r>
          </w:p>
        </w:tc>
        <w:tc>
          <w:tcPr>
            <w:tcW w:type="dxa" w:w="643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scope, high-risk change, go-live</w:t>
            </w:r>
          </w:p>
        </w:tc>
      </w:tr>
    </w:tbl>
    <w:p>
      <w:pPr>
        <w:pStyle w:val="Heading3"/>
        <w:keepNext/>
      </w:pPr>
      <w:r>
        <w:rPr>
          <w:rFonts w:ascii="Kanit" w:hAnsi="Kanit" w:eastAsia="Kanit" w:cs="Kanit"/>
          <w:b/>
          <w:color w:val="2B8C82"/>
          <w:sz w:val="23"/>
        </w:rPr>
        <w:t>RACI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7D5DC"/>
          <w:left w:val="single" w:sz="6" w:color="C7D5DC"/>
          <w:bottom w:val="single" w:sz="6" w:color="C7D5DC"/>
          <w:right w:val="single" w:sz="6" w:color="C7D5DC"/>
          <w:insideH w:val="single" w:sz="6" w:color="C7D5DC"/>
          <w:insideV w:val="single" w:sz="6" w:color="C7D5DC"/>
        </w:tblBorders>
      </w:tblPr>
      <w:tblGrid>
        <w:gridCol w:w="1315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rPr>
          <w:tblHeader w:val="true"/>
          <w:cantSplit/>
        </w:trPr>
        <w:tc>
          <w:tcPr>
            <w:tcW w:type="dxa" w:w="1315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Activity</w:t>
            </w:r>
          </w:p>
        </w:tc>
        <w:tc>
          <w:tcPr>
            <w:tcW w:type="dxa" w:w="1043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Sales</w:t>
            </w:r>
          </w:p>
        </w:tc>
        <w:tc>
          <w:tcPr>
            <w:tcW w:type="dxa" w:w="1043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Counter</w:t>
            </w:r>
          </w:p>
        </w:tc>
        <w:tc>
          <w:tcPr>
            <w:tcW w:type="dxa" w:w="1043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Warehouse</w:t>
            </w:r>
          </w:p>
        </w:tc>
        <w:tc>
          <w:tcPr>
            <w:tcW w:type="dxa" w:w="1043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Weigh</w:t>
            </w:r>
          </w:p>
        </w:tc>
        <w:tc>
          <w:tcPr>
            <w:tcW w:type="dxa" w:w="1043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Accounting</w:t>
            </w:r>
          </w:p>
        </w:tc>
        <w:tc>
          <w:tcPr>
            <w:tcW w:type="dxa" w:w="1043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Admin/IT</w:t>
            </w:r>
          </w:p>
        </w:tc>
        <w:tc>
          <w:tcPr>
            <w:tcW w:type="dxa" w:w="1043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Manager</w:t>
            </w:r>
          </w:p>
        </w:tc>
        <w:tc>
          <w:tcPr>
            <w:tcW w:type="dxa" w:w="1043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Exec</w:t>
            </w:r>
          </w:p>
        </w:tc>
      </w:tr>
      <w:tr>
        <w:trPr>
          <w:cantSplit/>
        </w:trPr>
        <w:tc>
          <w:tcPr>
            <w:tcW w:type="dxa" w:w="1315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Create SO</w:t>
            </w:r>
          </w:p>
        </w:tc>
        <w:tc>
          <w:tcPr>
            <w:tcW w:type="dxa" w:w="104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R</w:t>
            </w:r>
          </w:p>
        </w:tc>
        <w:tc>
          <w:tcPr>
            <w:tcW w:type="dxa" w:w="104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A/C</w:t>
            </w:r>
          </w:p>
        </w:tc>
        <w:tc>
          <w:tcPr>
            <w:tcW w:type="dxa" w:w="104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I</w:t>
            </w:r>
          </w:p>
        </w:tc>
        <w:tc>
          <w:tcPr>
            <w:tcW w:type="dxa" w:w="104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I</w:t>
            </w:r>
          </w:p>
        </w:tc>
        <w:tc>
          <w:tcPr>
            <w:tcW w:type="dxa" w:w="104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I</w:t>
            </w:r>
          </w:p>
        </w:tc>
        <w:tc>
          <w:tcPr>
            <w:tcW w:type="dxa" w:w="104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I</w:t>
            </w:r>
          </w:p>
        </w:tc>
        <w:tc>
          <w:tcPr>
            <w:tcW w:type="dxa" w:w="104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I</w:t>
            </w:r>
          </w:p>
        </w:tc>
        <w:tc>
          <w:tcPr>
            <w:tcW w:type="dxa" w:w="104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I</w:t>
            </w:r>
          </w:p>
        </w:tc>
      </w:tr>
      <w:tr>
        <w:trPr>
          <w:cantSplit/>
        </w:trPr>
        <w:tc>
          <w:tcPr>
            <w:tcW w:type="dxa" w:w="131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Verify SO</w:t>
            </w:r>
          </w:p>
        </w:tc>
        <w:tc>
          <w:tcPr>
            <w:tcW w:type="dxa" w:w="104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C</w:t>
            </w:r>
          </w:p>
        </w:tc>
        <w:tc>
          <w:tcPr>
            <w:tcW w:type="dxa" w:w="104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A/R</w:t>
            </w:r>
          </w:p>
        </w:tc>
        <w:tc>
          <w:tcPr>
            <w:tcW w:type="dxa" w:w="104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I</w:t>
            </w:r>
          </w:p>
        </w:tc>
        <w:tc>
          <w:tcPr>
            <w:tcW w:type="dxa" w:w="104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I</w:t>
            </w:r>
          </w:p>
        </w:tc>
        <w:tc>
          <w:tcPr>
            <w:tcW w:type="dxa" w:w="104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I</w:t>
            </w:r>
          </w:p>
        </w:tc>
        <w:tc>
          <w:tcPr>
            <w:tcW w:type="dxa" w:w="104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I</w:t>
            </w:r>
          </w:p>
        </w:tc>
        <w:tc>
          <w:tcPr>
            <w:tcW w:type="dxa" w:w="104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I</w:t>
            </w:r>
          </w:p>
        </w:tc>
        <w:tc>
          <w:tcPr>
            <w:tcW w:type="dxa" w:w="104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I</w:t>
            </w:r>
          </w:p>
        </w:tc>
      </w:tr>
      <w:tr>
        <w:trPr>
          <w:cantSplit/>
        </w:trPr>
        <w:tc>
          <w:tcPr>
            <w:tcW w:type="dxa" w:w="1315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Confirm/exception</w:t>
            </w:r>
          </w:p>
        </w:tc>
        <w:tc>
          <w:tcPr>
            <w:tcW w:type="dxa" w:w="104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R</w:t>
            </w:r>
          </w:p>
        </w:tc>
        <w:tc>
          <w:tcPr>
            <w:tcW w:type="dxa" w:w="104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C</w:t>
            </w:r>
          </w:p>
        </w:tc>
        <w:tc>
          <w:tcPr>
            <w:tcW w:type="dxa" w:w="104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I</w:t>
            </w:r>
          </w:p>
        </w:tc>
        <w:tc>
          <w:tcPr>
            <w:tcW w:type="dxa" w:w="104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I</w:t>
            </w:r>
          </w:p>
        </w:tc>
        <w:tc>
          <w:tcPr>
            <w:tcW w:type="dxa" w:w="104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C</w:t>
            </w:r>
          </w:p>
        </w:tc>
        <w:tc>
          <w:tcPr>
            <w:tcW w:type="dxa" w:w="104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I</w:t>
            </w:r>
          </w:p>
        </w:tc>
        <w:tc>
          <w:tcPr>
            <w:tcW w:type="dxa" w:w="104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A</w:t>
            </w:r>
          </w:p>
        </w:tc>
        <w:tc>
          <w:tcPr>
            <w:tcW w:type="dxa" w:w="104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I</w:t>
            </w:r>
          </w:p>
        </w:tc>
      </w:tr>
      <w:tr>
        <w:trPr>
          <w:cantSplit/>
        </w:trPr>
        <w:tc>
          <w:tcPr>
            <w:tcW w:type="dxa" w:w="131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Pick/load</w:t>
            </w:r>
          </w:p>
        </w:tc>
        <w:tc>
          <w:tcPr>
            <w:tcW w:type="dxa" w:w="104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I</w:t>
            </w:r>
          </w:p>
        </w:tc>
        <w:tc>
          <w:tcPr>
            <w:tcW w:type="dxa" w:w="104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C</w:t>
            </w:r>
          </w:p>
        </w:tc>
        <w:tc>
          <w:tcPr>
            <w:tcW w:type="dxa" w:w="104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A/R</w:t>
            </w:r>
          </w:p>
        </w:tc>
        <w:tc>
          <w:tcPr>
            <w:tcW w:type="dxa" w:w="104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C</w:t>
            </w:r>
          </w:p>
        </w:tc>
        <w:tc>
          <w:tcPr>
            <w:tcW w:type="dxa" w:w="104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I</w:t>
            </w:r>
          </w:p>
        </w:tc>
        <w:tc>
          <w:tcPr>
            <w:tcW w:type="dxa" w:w="104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I</w:t>
            </w:r>
          </w:p>
        </w:tc>
        <w:tc>
          <w:tcPr>
            <w:tcW w:type="dxa" w:w="104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I</w:t>
            </w:r>
          </w:p>
        </w:tc>
        <w:tc>
          <w:tcPr>
            <w:tcW w:type="dxa" w:w="104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I</w:t>
            </w:r>
          </w:p>
        </w:tc>
      </w:tr>
      <w:tr>
        <w:trPr>
          <w:cantSplit/>
        </w:trPr>
        <w:tc>
          <w:tcPr>
            <w:tcW w:type="dxa" w:w="1315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Weigh/ship</w:t>
            </w:r>
          </w:p>
        </w:tc>
        <w:tc>
          <w:tcPr>
            <w:tcW w:type="dxa" w:w="104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I</w:t>
            </w:r>
          </w:p>
        </w:tc>
        <w:tc>
          <w:tcPr>
            <w:tcW w:type="dxa" w:w="104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I</w:t>
            </w:r>
          </w:p>
        </w:tc>
        <w:tc>
          <w:tcPr>
            <w:tcW w:type="dxa" w:w="104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C</w:t>
            </w:r>
          </w:p>
        </w:tc>
        <w:tc>
          <w:tcPr>
            <w:tcW w:type="dxa" w:w="104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A/R</w:t>
            </w:r>
          </w:p>
        </w:tc>
        <w:tc>
          <w:tcPr>
            <w:tcW w:type="dxa" w:w="104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I</w:t>
            </w:r>
          </w:p>
        </w:tc>
        <w:tc>
          <w:tcPr>
            <w:tcW w:type="dxa" w:w="104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I</w:t>
            </w:r>
          </w:p>
        </w:tc>
        <w:tc>
          <w:tcPr>
            <w:tcW w:type="dxa" w:w="104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I</w:t>
            </w:r>
          </w:p>
        </w:tc>
        <w:tc>
          <w:tcPr>
            <w:tcW w:type="dxa" w:w="104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I</w:t>
            </w:r>
          </w:p>
        </w:tc>
      </w:tr>
      <w:tr>
        <w:trPr>
          <w:cantSplit/>
        </w:trPr>
        <w:tc>
          <w:tcPr>
            <w:tcW w:type="dxa" w:w="131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Rebate Plan</w:t>
            </w:r>
          </w:p>
        </w:tc>
        <w:tc>
          <w:tcPr>
            <w:tcW w:type="dxa" w:w="104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C</w:t>
            </w:r>
          </w:p>
        </w:tc>
        <w:tc>
          <w:tcPr>
            <w:tcW w:type="dxa" w:w="104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I</w:t>
            </w:r>
          </w:p>
        </w:tc>
        <w:tc>
          <w:tcPr>
            <w:tcW w:type="dxa" w:w="104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I</w:t>
            </w:r>
          </w:p>
        </w:tc>
        <w:tc>
          <w:tcPr>
            <w:tcW w:type="dxa" w:w="104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I</w:t>
            </w:r>
          </w:p>
        </w:tc>
        <w:tc>
          <w:tcPr>
            <w:tcW w:type="dxa" w:w="104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C</w:t>
            </w:r>
          </w:p>
        </w:tc>
        <w:tc>
          <w:tcPr>
            <w:tcW w:type="dxa" w:w="104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I</w:t>
            </w:r>
          </w:p>
        </w:tc>
        <w:tc>
          <w:tcPr>
            <w:tcW w:type="dxa" w:w="104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A/R</w:t>
            </w:r>
          </w:p>
        </w:tc>
        <w:tc>
          <w:tcPr>
            <w:tcW w:type="dxa" w:w="104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I</w:t>
            </w:r>
          </w:p>
        </w:tc>
      </w:tr>
      <w:tr>
        <w:trPr>
          <w:cantSplit/>
        </w:trPr>
        <w:tc>
          <w:tcPr>
            <w:tcW w:type="dxa" w:w="1315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Claim/CN</w:t>
            </w:r>
          </w:p>
        </w:tc>
        <w:tc>
          <w:tcPr>
            <w:tcW w:type="dxa" w:w="104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R</w:t>
            </w:r>
          </w:p>
        </w:tc>
        <w:tc>
          <w:tcPr>
            <w:tcW w:type="dxa" w:w="104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I</w:t>
            </w:r>
          </w:p>
        </w:tc>
        <w:tc>
          <w:tcPr>
            <w:tcW w:type="dxa" w:w="104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I</w:t>
            </w:r>
          </w:p>
        </w:tc>
        <w:tc>
          <w:tcPr>
            <w:tcW w:type="dxa" w:w="104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I</w:t>
            </w:r>
          </w:p>
        </w:tc>
        <w:tc>
          <w:tcPr>
            <w:tcW w:type="dxa" w:w="104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A/R</w:t>
            </w:r>
          </w:p>
        </w:tc>
        <w:tc>
          <w:tcPr>
            <w:tcW w:type="dxa" w:w="104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I</w:t>
            </w:r>
          </w:p>
        </w:tc>
        <w:tc>
          <w:tcPr>
            <w:tcW w:type="dxa" w:w="104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C</w:t>
            </w:r>
          </w:p>
        </w:tc>
        <w:tc>
          <w:tcPr>
            <w:tcW w:type="dxa" w:w="104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I</w:t>
            </w:r>
          </w:p>
        </w:tc>
      </w:tr>
      <w:tr>
        <w:trPr>
          <w:cantSplit/>
        </w:trPr>
        <w:tc>
          <w:tcPr>
            <w:tcW w:type="dxa" w:w="131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Security/backup</w:t>
            </w:r>
          </w:p>
        </w:tc>
        <w:tc>
          <w:tcPr>
            <w:tcW w:type="dxa" w:w="104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I</w:t>
            </w:r>
          </w:p>
        </w:tc>
        <w:tc>
          <w:tcPr>
            <w:tcW w:type="dxa" w:w="104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I</w:t>
            </w:r>
          </w:p>
        </w:tc>
        <w:tc>
          <w:tcPr>
            <w:tcW w:type="dxa" w:w="104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I</w:t>
            </w:r>
          </w:p>
        </w:tc>
        <w:tc>
          <w:tcPr>
            <w:tcW w:type="dxa" w:w="104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I</w:t>
            </w:r>
          </w:p>
        </w:tc>
        <w:tc>
          <w:tcPr>
            <w:tcW w:type="dxa" w:w="104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I</w:t>
            </w:r>
          </w:p>
        </w:tc>
        <w:tc>
          <w:tcPr>
            <w:tcW w:type="dxa" w:w="104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A/R</w:t>
            </w:r>
          </w:p>
        </w:tc>
        <w:tc>
          <w:tcPr>
            <w:tcW w:type="dxa" w:w="104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C</w:t>
            </w:r>
          </w:p>
        </w:tc>
        <w:tc>
          <w:tcPr>
            <w:tcW w:type="dxa" w:w="104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I</w:t>
            </w:r>
          </w:p>
        </w:tc>
      </w:tr>
      <w:tr>
        <w:trPr>
          <w:cantSplit/>
        </w:trPr>
        <w:tc>
          <w:tcPr>
            <w:tcW w:type="dxa" w:w="1315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Go-live</w:t>
            </w:r>
          </w:p>
        </w:tc>
        <w:tc>
          <w:tcPr>
            <w:tcW w:type="dxa" w:w="104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I</w:t>
            </w:r>
          </w:p>
        </w:tc>
        <w:tc>
          <w:tcPr>
            <w:tcW w:type="dxa" w:w="104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C</w:t>
            </w:r>
          </w:p>
        </w:tc>
        <w:tc>
          <w:tcPr>
            <w:tcW w:type="dxa" w:w="104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C</w:t>
            </w:r>
          </w:p>
        </w:tc>
        <w:tc>
          <w:tcPr>
            <w:tcW w:type="dxa" w:w="104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C</w:t>
            </w:r>
          </w:p>
        </w:tc>
        <w:tc>
          <w:tcPr>
            <w:tcW w:type="dxa" w:w="104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C</w:t>
            </w:r>
          </w:p>
        </w:tc>
        <w:tc>
          <w:tcPr>
            <w:tcW w:type="dxa" w:w="104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C</w:t>
            </w:r>
          </w:p>
        </w:tc>
        <w:tc>
          <w:tcPr>
            <w:tcW w:type="dxa" w:w="104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R</w:t>
            </w:r>
          </w:p>
        </w:tc>
        <w:tc>
          <w:tcPr>
            <w:tcW w:type="dxa" w:w="104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5"/>
              </w:rPr>
              <w:t>A</w:t>
            </w:r>
          </w:p>
        </w:tc>
      </w:tr>
    </w:tbl>
    <w:p>
      <w:pPr>
        <w:spacing w:after="60"/>
      </w:pPr>
      <w:r>
        <w:rPr>
          <w:rFonts w:ascii="Prompt" w:hAnsi="Prompt" w:eastAsia="Prompt" w:cs="Prompt"/>
          <w:i w:val="0"/>
          <w:color w:val="1C2730"/>
          <w:sz w:val="18"/>
        </w:rPr>
        <w:t>R=Responsible; A=Accountable; C=Consulted; I=Informed</w:t>
      </w:r>
    </w:p>
    <w:p>
      <w:pPr>
        <w:pStyle w:val="Heading3"/>
        <w:keepNext/>
      </w:pPr>
      <w:r>
        <w:rPr>
          <w:rFonts w:ascii="Kanit" w:hAnsi="Kanit" w:eastAsia="Kanit" w:cs="Kanit"/>
          <w:b/>
          <w:color w:val="2B8C82"/>
          <w:sz w:val="23"/>
        </w:rPr>
        <w:t>Approval baseline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7D5DC"/>
          <w:left w:val="single" w:sz="6" w:color="C7D5DC"/>
          <w:bottom w:val="single" w:sz="6" w:color="C7D5DC"/>
          <w:right w:val="single" w:sz="6" w:color="C7D5DC"/>
          <w:insideH w:val="single" w:sz="6" w:color="C7D5DC"/>
          <w:insideV w:val="single" w:sz="6" w:color="C7D5DC"/>
        </w:tblBorders>
      </w:tblPr>
      <w:tblGrid>
        <w:gridCol w:w="4224"/>
        <w:gridCol w:w="5415"/>
      </w:tblGrid>
      <w:tr>
        <w:trPr>
          <w:tblHeader w:val="true"/>
          <w:cantSplit/>
        </w:trPr>
        <w:tc>
          <w:tcPr>
            <w:tcW w:type="dxa" w:w="4224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5415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Required approval</w:t>
            </w:r>
          </w:p>
        </w:tc>
      </w:tr>
      <w:tr>
        <w:trPr>
          <w:cantSplit/>
        </w:trPr>
        <w:tc>
          <w:tcPr>
            <w:tcW w:type="dxa" w:w="422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Unlock after Picking</w:t>
            </w:r>
          </w:p>
        </w:tc>
        <w:tc>
          <w:tcPr>
            <w:tcW w:type="dxa" w:w="5415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authorized Approver</w:t>
            </w:r>
          </w:p>
        </w:tc>
      </w:tr>
      <w:tr>
        <w:trPr>
          <w:cantSplit/>
        </w:trPr>
        <w:tc>
          <w:tcPr>
            <w:tcW w:type="dxa" w:w="422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Sell above set price</w:t>
            </w:r>
          </w:p>
        </w:tc>
        <w:tc>
          <w:tcPr>
            <w:tcW w:type="dxa" w:w="541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named authority by policy</w:t>
            </w:r>
          </w:p>
        </w:tc>
      </w:tr>
      <w:tr>
        <w:trPr>
          <w:cantSplit/>
        </w:trPr>
        <w:tc>
          <w:tcPr>
            <w:tcW w:type="dxa" w:w="422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Sell below allowed threshold</w:t>
            </w:r>
          </w:p>
        </w:tc>
        <w:tc>
          <w:tcPr>
            <w:tcW w:type="dxa" w:w="5415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authorized manager matrix</w:t>
            </w:r>
          </w:p>
        </w:tc>
      </w:tr>
      <w:tr>
        <w:trPr>
          <w:cantSplit/>
        </w:trPr>
        <w:tc>
          <w:tcPr>
            <w:tcW w:type="dxa" w:w="422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Price activation</w:t>
            </w:r>
          </w:p>
        </w:tc>
        <w:tc>
          <w:tcPr>
            <w:tcW w:type="dxa" w:w="541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Manager + Accounting review</w:t>
            </w:r>
          </w:p>
        </w:tc>
      </w:tr>
      <w:tr>
        <w:trPr>
          <w:cantSplit/>
        </w:trPr>
        <w:tc>
          <w:tcPr>
            <w:tcW w:type="dxa" w:w="422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Rebate plan activation</w:t>
            </w:r>
          </w:p>
        </w:tc>
        <w:tc>
          <w:tcPr>
            <w:tcW w:type="dxa" w:w="5415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Manager/Approver</w:t>
            </w:r>
          </w:p>
        </w:tc>
      </w:tr>
      <w:tr>
        <w:trPr>
          <w:cantSplit/>
        </w:trPr>
        <w:tc>
          <w:tcPr>
            <w:tcW w:type="dxa" w:w="422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Overbudget giveaway</w:t>
            </w:r>
          </w:p>
        </w:tc>
        <w:tc>
          <w:tcPr>
            <w:tcW w:type="dxa" w:w="541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manager/delegate + reason</w:t>
            </w:r>
          </w:p>
        </w:tc>
      </w:tr>
      <w:tr>
        <w:trPr>
          <w:cantSplit/>
        </w:trPr>
        <w:tc>
          <w:tcPr>
            <w:tcW w:type="dxa" w:w="422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Manual weight override</w:t>
            </w:r>
          </w:p>
        </w:tc>
        <w:tc>
          <w:tcPr>
            <w:tcW w:type="dxa" w:w="5415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Weighbridge + supervisory review</w:t>
            </w:r>
          </w:p>
        </w:tc>
      </w:tr>
      <w:tr>
        <w:trPr>
          <w:cantSplit/>
        </w:trPr>
        <w:tc>
          <w:tcPr>
            <w:tcW w:type="dxa" w:w="422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Direct dbo exception</w:t>
            </w:r>
          </w:p>
        </w:tc>
        <w:tc>
          <w:tcPr>
            <w:tcW w:type="dxa" w:w="541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IT/DBA + Accounting + delegated Executive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Kanit" w:hAnsi="Kanit" w:eastAsia="Kanit" w:cs="Kanit"/>
          <w:b/>
          <w:color w:val="15334A"/>
          <w:sz w:val="34"/>
        </w:rPr>
        <w:t>Solution Architecture Document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4F8FA"/>
          <w:left w:val="single" w:sz="0" w:color="F4F8FA"/>
          <w:bottom w:val="single" w:sz="0" w:color="F4F8FA"/>
          <w:right w:val="single" w:sz="0" w:color="F4F8FA"/>
          <w:insideH w:val="single" w:sz="0" w:color="F4F8FA"/>
          <w:insideV w:val="single" w:sz="0" w:color="F4F8FA"/>
        </w:tblBorders>
      </w:tblPr>
      <w:tblGrid>
        <w:gridCol w:w="198"/>
        <w:gridCol w:w="9441"/>
      </w:tblGrid>
      <w:tr>
        <w:tc>
          <w:tcPr>
            <w:tcW w:type="dxa" w:w="198"/>
            <w:shd w:fill="2B8C82"/>
          </w:tcPr>
          <w:p>
            <w:r/>
          </w:p>
        </w:tc>
        <w:tc>
          <w:tcPr>
            <w:tcW w:type="dxa" w:w="9441"/>
            <w:shd w:fill="F4F8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Kanit" w:hAnsi="Kanit" w:eastAsia="Kanit" w:cs="Kanit"/>
                <w:b/>
                <w:color w:val="15334A"/>
                <w:sz w:val="19"/>
              </w:rPr>
              <w:t xml:space="preserve">Authoritative source  </w:t>
            </w:r>
            <w:r>
              <w:rPr>
                <w:rFonts w:ascii="Prompt" w:hAnsi="Prompt" w:eastAsia="Prompt" w:cs="Prompt"/>
                <w:b w:val="0"/>
                <w:color w:val="1C2730"/>
                <w:sz w:val="18"/>
              </w:rPr>
              <w:t>docs/enterprise/03-SOLUTION-ARCHITECTURE/SAD-v8.md · SHA-256 751BD422F3E4C39DC4E43A6B8572CC48D87351775A5A4617D36FE5CA2CC49777 · merged as Review content</w:t>
            </w:r>
          </w:p>
        </w:tc>
      </w:tr>
    </w:tbl>
    <w:p>
      <w:pPr>
        <w:spacing w:after="0" w:line="96" w:lineRule="auto"/>
      </w:pPr>
    </w:p>
    <w:p>
      <w:pPr>
        <w:pStyle w:val="Heading3"/>
        <w:keepNext/>
      </w:pPr>
      <w:r>
        <w:rPr>
          <w:rFonts w:ascii="Kanit" w:hAnsi="Kanit" w:eastAsia="Kanit" w:cs="Kanit"/>
          <w:b/>
          <w:color w:val="2B8C82"/>
          <w:sz w:val="23"/>
        </w:rPr>
        <w:t>Architecture intent</w:t>
      </w:r>
    </w:p>
    <w:p>
      <w:pPr>
        <w:spacing w:after="60"/>
      </w:pPr>
      <w:r>
        <w:rPr>
          <w:rFonts w:ascii="Prompt" w:hAnsi="Prompt" w:eastAsia="Prompt" w:cs="Prompt"/>
          <w:i w:val="0"/>
          <w:color w:val="1C2730"/>
          <w:sz w:val="18"/>
        </w:rPr>
        <w:t>ออกแบบเพื่อให้ operational workflow เปลี่ยนเร็วโดยไม่แทรกแซง finance/GL ของ WINSpeed และสร้างหลักฐานที่ตรวจสอบได้ระดับ event/record</w:t>
      </w:r>
    </w:p>
    <w:p>
      <w:pPr>
        <w:pStyle w:val="Heading3"/>
        <w:keepNext/>
      </w:pPr>
      <w:r>
        <w:rPr>
          <w:rFonts w:ascii="Kanit" w:hAnsi="Kanit" w:eastAsia="Kanit" w:cs="Kanit"/>
          <w:b/>
          <w:color w:val="2B8C82"/>
          <w:sz w:val="23"/>
        </w:rPr>
        <w:t>Logical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4F8FA"/>
          <w:left w:val="single" w:sz="0" w:color="F4F8FA"/>
          <w:bottom w:val="single" w:sz="0" w:color="F4F8FA"/>
          <w:right w:val="single" w:sz="0" w:color="F4F8FA"/>
          <w:insideH w:val="single" w:sz="0" w:color="F4F8FA"/>
          <w:insideV w:val="single" w:sz="0" w:color="F4F8FA"/>
        </w:tblBorders>
      </w:tblPr>
      <w:tblGrid>
        <w:gridCol w:w="198"/>
        <w:gridCol w:w="9441"/>
      </w:tblGrid>
      <w:tr>
        <w:tc>
          <w:tcPr>
            <w:tcW w:type="dxa" w:w="198"/>
            <w:shd w:fill="2B8C82"/>
          </w:tcPr>
          <w:p>
            <w:r/>
          </w:p>
        </w:tc>
        <w:tc>
          <w:tcPr>
            <w:tcW w:type="dxa" w:w="9441"/>
            <w:shd w:fill="F4F8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Kanit" w:hAnsi="Kanit" w:eastAsia="Kanit" w:cs="Kanit"/>
                <w:b/>
                <w:color w:val="15334A"/>
                <w:sz w:val="19"/>
              </w:rPr>
              <w:t xml:space="preserve">Diagram source  </w:t>
            </w:r>
            <w:r>
              <w:rPr>
                <w:rFonts w:ascii="Prompt" w:hAnsi="Prompt" w:eastAsia="Prompt" w:cs="Prompt"/>
                <w:b w:val="0"/>
                <w:color w:val="1C2730"/>
                <w:sz w:val="18"/>
              </w:rPr>
              <w:t>Mermaid source is retained in Markdown; the reviewed high-resolution rendering is embedded in the figure section.</w:t>
            </w:r>
          </w:p>
        </w:tc>
      </w:tr>
    </w:tbl>
    <w:p>
      <w:pPr>
        <w:spacing w:after="0" w:line="96" w:lineRule="auto"/>
      </w:pPr>
    </w:p>
    <w:p>
      <w:pPr>
        <w:pStyle w:val="Heading3"/>
        <w:keepNext/>
      </w:pPr>
      <w:r>
        <w:rPr>
          <w:rFonts w:ascii="Kanit" w:hAnsi="Kanit" w:eastAsia="Kanit" w:cs="Kanit"/>
          <w:b/>
          <w:color w:val="2B8C82"/>
          <w:sz w:val="23"/>
        </w:rPr>
        <w:t>Architecture principles</w:t>
      </w:r>
    </w:p>
    <w:p>
      <w:pPr>
        <w:pStyle w:val="ListNumber"/>
        <w:numPr>
          <w:numId w:val="11"/>
        </w:numPr>
        <w:spacing w:after="40"/>
      </w:pPr>
      <w:r>
        <w:rPr>
          <w:rFonts w:ascii="Prompt" w:hAnsi="Prompt" w:eastAsia="Prompt" w:cs="Prompt"/>
          <w:color w:val="1C2730"/>
          <w:sz w:val="18"/>
        </w:rPr>
        <w:t>Accounting boundary — WINSpeed owns invoice/CN/GL posting.</w:t>
      </w:r>
    </w:p>
    <w:p>
      <w:pPr>
        <w:pStyle w:val="ListNumber"/>
        <w:numPr>
          <w:numId w:val="11"/>
        </w:numPr>
        <w:spacing w:after="40"/>
      </w:pPr>
      <w:r>
        <w:rPr>
          <w:rFonts w:ascii="Prompt" w:hAnsi="Prompt" w:eastAsia="Prompt" w:cs="Prompt"/>
          <w:color w:val="1C2730"/>
          <w:sz w:val="18"/>
        </w:rPr>
        <w:t>Controlled write boundary — direct dbo writing is explicit exception, never implicit.</w:t>
      </w:r>
    </w:p>
    <w:p>
      <w:pPr>
        <w:pStyle w:val="ListNumber"/>
        <w:numPr>
          <w:numId w:val="11"/>
        </w:numPr>
        <w:spacing w:after="40"/>
      </w:pPr>
      <w:r>
        <w:rPr>
          <w:rFonts w:ascii="Prompt" w:hAnsi="Prompt" w:eastAsia="Prompt" w:cs="Prompt"/>
          <w:color w:val="1C2730"/>
          <w:sz w:val="18"/>
        </w:rPr>
        <w:t>Append-only evidence — audit, ledger and source references preserved; corrections compensate.</w:t>
      </w:r>
    </w:p>
    <w:p>
      <w:pPr>
        <w:pStyle w:val="ListNumber"/>
        <w:numPr>
          <w:numId w:val="11"/>
        </w:numPr>
        <w:spacing w:after="40"/>
      </w:pPr>
      <w:r>
        <w:rPr>
          <w:rFonts w:ascii="Prompt" w:hAnsi="Prompt" w:eastAsia="Prompt" w:cs="Prompt"/>
          <w:color w:val="1C2730"/>
          <w:sz w:val="18"/>
        </w:rPr>
        <w:t>Read-model isolation — heavy report/control-ticket queries use approved views/indexes/pagination.</w:t>
      </w:r>
    </w:p>
    <w:p>
      <w:pPr>
        <w:pStyle w:val="ListNumber"/>
        <w:numPr>
          <w:numId w:val="11"/>
        </w:numPr>
        <w:spacing w:after="40"/>
      </w:pPr>
      <w:r>
        <w:rPr>
          <w:rFonts w:ascii="Prompt" w:hAnsi="Prompt" w:eastAsia="Prompt" w:cs="Prompt"/>
          <w:color w:val="1C2730"/>
          <w:sz w:val="18"/>
        </w:rPr>
        <w:t>Integration resilience — idempotency, retry/reconciliation and manual fallback explicit.</w:t>
      </w:r>
    </w:p>
    <w:p>
      <w:pPr>
        <w:pStyle w:val="ListNumber"/>
        <w:numPr>
          <w:numId w:val="11"/>
        </w:numPr>
        <w:spacing w:after="40"/>
      </w:pPr>
      <w:r>
        <w:rPr>
          <w:rFonts w:ascii="Prompt" w:hAnsi="Prompt" w:eastAsia="Prompt" w:cs="Prompt"/>
          <w:color w:val="1C2730"/>
          <w:sz w:val="18"/>
        </w:rPr>
        <w:t>Least privilege — no sa/root in runtime.</w:t>
      </w:r>
    </w:p>
    <w:p>
      <w:pPr>
        <w:pStyle w:val="ListNumber"/>
        <w:numPr>
          <w:numId w:val="11"/>
        </w:numPr>
        <w:spacing w:after="40"/>
      </w:pPr>
      <w:r>
        <w:rPr>
          <w:rFonts w:ascii="Prompt" w:hAnsi="Prompt" w:eastAsia="Prompt" w:cs="Prompt"/>
          <w:color w:val="1C2730"/>
          <w:sz w:val="18"/>
        </w:rPr>
        <w:t>Observe before mutate — completed-weigh TruckScale records are read-only; controlled pre-weigh queue writes are limited to tbl_keyone; ambiguity is surfaced.</w:t>
      </w:r>
    </w:p>
    <w:p>
      <w:pPr>
        <w:pStyle w:val="ListNumber"/>
        <w:numPr>
          <w:numId w:val="11"/>
        </w:numPr>
        <w:spacing w:after="40"/>
      </w:pPr>
      <w:r>
        <w:rPr>
          <w:rFonts w:ascii="Prompt" w:hAnsi="Prompt" w:eastAsia="Prompt" w:cs="Prompt"/>
          <w:color w:val="1C2730"/>
          <w:sz w:val="18"/>
        </w:rPr>
        <w:t>Configuration over hardcode — policy/threshold/period/environment controlled.</w:t>
      </w:r>
    </w:p>
    <w:p>
      <w:pPr>
        <w:pStyle w:val="ListNumber"/>
        <w:numPr>
          <w:numId w:val="11"/>
        </w:numPr>
        <w:spacing w:after="40"/>
      </w:pPr>
      <w:r>
        <w:rPr>
          <w:rFonts w:ascii="Prompt" w:hAnsi="Prompt" w:eastAsia="Prompt" w:cs="Prompt"/>
          <w:color w:val="1C2730"/>
          <w:sz w:val="18"/>
        </w:rPr>
        <w:t>Operational transparency — health, version, release, failures visible.</w:t>
      </w:r>
    </w:p>
    <w:p>
      <w:pPr>
        <w:pStyle w:val="Heading3"/>
        <w:keepNext/>
      </w:pPr>
      <w:r>
        <w:rPr>
          <w:rFonts w:ascii="Kanit" w:hAnsi="Kanit" w:eastAsia="Kanit" w:cs="Kanit"/>
          <w:b/>
          <w:color w:val="2B8C82"/>
          <w:sz w:val="23"/>
        </w:rPr>
        <w:t>Bounded contexts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7D5DC"/>
          <w:left w:val="single" w:sz="6" w:color="C7D5DC"/>
          <w:bottom w:val="single" w:sz="6" w:color="C7D5DC"/>
          <w:right w:val="single" w:sz="6" w:color="C7D5DC"/>
          <w:insideH w:val="single" w:sz="6" w:color="C7D5DC"/>
          <w:insideV w:val="single" w:sz="6" w:color="C7D5DC"/>
        </w:tblBorders>
      </w:tblPr>
      <w:tblGrid>
        <w:gridCol w:w="2478"/>
        <w:gridCol w:w="4167"/>
        <w:gridCol w:w="2988"/>
      </w:tblGrid>
      <w:tr>
        <w:trPr>
          <w:tblHeader w:val="true"/>
          <w:cantSplit/>
        </w:trPr>
        <w:tc>
          <w:tcPr>
            <w:tcW w:type="dxa" w:w="2478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Context</w:t>
            </w:r>
          </w:p>
        </w:tc>
        <w:tc>
          <w:tcPr>
            <w:tcW w:type="dxa" w:w="4167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Owned data</w:t>
            </w:r>
          </w:p>
        </w:tc>
        <w:tc>
          <w:tcPr>
            <w:tcW w:type="dxa" w:w="2988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Key responsibility</w:t>
            </w:r>
          </w:p>
        </w:tc>
      </w:tr>
      <w:tr>
        <w:trPr>
          <w:cantSplit/>
        </w:trPr>
        <w:tc>
          <w:tcPr>
            <w:tcW w:type="dxa" w:w="2478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Sales Execution</w:t>
            </w:r>
          </w:p>
        </w:tc>
        <w:tc>
          <w:tcPr>
            <w:tcW w:type="dxa" w:w="4167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SO, lines, states, verify, load sequence</w:t>
            </w:r>
          </w:p>
        </w:tc>
        <w:tc>
          <w:tcPr>
            <w:tcW w:type="dxa" w:w="2988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lifecycle control</w:t>
            </w:r>
          </w:p>
        </w:tc>
      </w:tr>
      <w:tr>
        <w:trPr>
          <w:cantSplit/>
        </w:trPr>
        <w:tc>
          <w:tcPr>
            <w:tcW w:type="dxa" w:w="247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Rebate</w:t>
            </w:r>
          </w:p>
        </w:tc>
        <w:tc>
          <w:tcPr>
            <w:tcW w:type="dxa" w:w="416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plan, allocation, pool, ledger, claim</w:t>
            </w:r>
          </w:p>
        </w:tc>
        <w:tc>
          <w:tcPr>
            <w:tcW w:type="dxa" w:w="298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traceable promotion</w:t>
            </w:r>
          </w:p>
        </w:tc>
      </w:tr>
      <w:tr>
        <w:trPr>
          <w:cantSplit/>
        </w:trPr>
        <w:tc>
          <w:tcPr>
            <w:tcW w:type="dxa" w:w="2478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Warehouse/Weighing</w:t>
            </w:r>
          </w:p>
        </w:tc>
        <w:tc>
          <w:tcPr>
            <w:tcW w:type="dxa" w:w="4167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pick status, WeighTicket</w:t>
            </w:r>
          </w:p>
        </w:tc>
        <w:tc>
          <w:tcPr>
            <w:tcW w:type="dxa" w:w="2988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loading/ship evidence</w:t>
            </w:r>
          </w:p>
        </w:tc>
      </w:tr>
      <w:tr>
        <w:trPr>
          <w:cantSplit/>
        </w:trPr>
        <w:tc>
          <w:tcPr>
            <w:tcW w:type="dxa" w:w="247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Paper Trail</w:t>
            </w:r>
          </w:p>
        </w:tc>
        <w:tc>
          <w:tcPr>
            <w:tcW w:type="dxa" w:w="416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copies, QR, scans</w:t>
            </w:r>
          </w:p>
        </w:tc>
        <w:tc>
          <w:tcPr>
            <w:tcW w:type="dxa" w:w="298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document custody</w:t>
            </w:r>
          </w:p>
        </w:tc>
      </w:tr>
      <w:tr>
        <w:trPr>
          <w:cantSplit/>
        </w:trPr>
        <w:tc>
          <w:tcPr>
            <w:tcW w:type="dxa" w:w="2478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Integration</w:t>
            </w:r>
          </w:p>
        </w:tc>
        <w:tc>
          <w:tcPr>
            <w:tcW w:type="dxa" w:w="4167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outbox/reconcile</w:t>
            </w:r>
          </w:p>
        </w:tc>
        <w:tc>
          <w:tcPr>
            <w:tcW w:type="dxa" w:w="2988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safe external operations</w:t>
            </w:r>
          </w:p>
        </w:tc>
      </w:tr>
      <w:tr>
        <w:trPr>
          <w:cantSplit/>
        </w:trPr>
        <w:tc>
          <w:tcPr>
            <w:tcW w:type="dxa" w:w="247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Identity/Admin</w:t>
            </w:r>
          </w:p>
        </w:tc>
        <w:tc>
          <w:tcPr>
            <w:tcW w:type="dxa" w:w="416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user/role/policy</w:t>
            </w:r>
          </w:p>
        </w:tc>
        <w:tc>
          <w:tcPr>
            <w:tcW w:type="dxa" w:w="298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access/config</w:t>
            </w:r>
          </w:p>
        </w:tc>
      </w:tr>
      <w:tr>
        <w:trPr>
          <w:cantSplit/>
        </w:trPr>
        <w:tc>
          <w:tcPr>
            <w:tcW w:type="dxa" w:w="2478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Reporting</w:t>
            </w:r>
          </w:p>
        </w:tc>
        <w:tc>
          <w:tcPr>
            <w:tcW w:type="dxa" w:w="4167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read models/export</w:t>
            </w:r>
          </w:p>
        </w:tc>
        <w:tc>
          <w:tcPr>
            <w:tcW w:type="dxa" w:w="2988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operational visibility</w:t>
            </w:r>
          </w:p>
        </w:tc>
      </w:tr>
    </w:tbl>
    <w:p>
      <w:pPr>
        <w:pStyle w:val="Heading3"/>
        <w:keepNext/>
      </w:pPr>
      <w:r>
        <w:rPr>
          <w:rFonts w:ascii="Kanit" w:hAnsi="Kanit" w:eastAsia="Kanit" w:cs="Kanit"/>
          <w:b/>
          <w:color w:val="2B8C82"/>
          <w:sz w:val="23"/>
        </w:rPr>
        <w:t>Data ownership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7D5DC"/>
          <w:left w:val="single" w:sz="6" w:color="C7D5DC"/>
          <w:bottom w:val="single" w:sz="6" w:color="C7D5DC"/>
          <w:right w:val="single" w:sz="6" w:color="C7D5DC"/>
          <w:insideH w:val="single" w:sz="6" w:color="C7D5DC"/>
          <w:insideV w:val="single" w:sz="6" w:color="C7D5DC"/>
        </w:tblBorders>
      </w:tblPr>
      <w:tblGrid>
        <w:gridCol w:w="2778"/>
        <w:gridCol w:w="2024"/>
        <w:gridCol w:w="4837"/>
      </w:tblGrid>
      <w:tr>
        <w:trPr>
          <w:tblHeader w:val="true"/>
          <w:cantSplit/>
        </w:trPr>
        <w:tc>
          <w:tcPr>
            <w:tcW w:type="dxa" w:w="2778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Data class</w:t>
            </w:r>
          </w:p>
        </w:tc>
        <w:tc>
          <w:tcPr>
            <w:tcW w:type="dxa" w:w="2024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4837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App authority</w:t>
            </w:r>
          </w:p>
        </w:tc>
      </w:tr>
      <w:tr>
        <w:trPr>
          <w:cantSplit/>
        </w:trPr>
        <w:tc>
          <w:tcPr>
            <w:tcW w:type="dxa" w:w="2778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WINSpeed master</w:t>
            </w:r>
          </w:p>
        </w:tc>
        <w:tc>
          <w:tcPr>
            <w:tcW w:type="dxa" w:w="202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WINSpeed</w:t>
            </w:r>
          </w:p>
        </w:tc>
        <w:tc>
          <w:tcPr>
            <w:tcW w:type="dxa" w:w="4837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controlled read</w:t>
            </w:r>
          </w:p>
        </w:tc>
      </w:tr>
      <w:tr>
        <w:trPr>
          <w:cantSplit/>
        </w:trPr>
        <w:tc>
          <w:tcPr>
            <w:tcW w:type="dxa" w:w="277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WINSpeed invoice/CN/GL</w:t>
            </w:r>
          </w:p>
        </w:tc>
        <w:tc>
          <w:tcPr>
            <w:tcW w:type="dxa" w:w="202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WINSpeed</w:t>
            </w:r>
          </w:p>
        </w:tc>
        <w:tc>
          <w:tcPr>
            <w:tcW w:type="dxa" w:w="483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read/reconcile</w:t>
            </w:r>
          </w:p>
        </w:tc>
      </w:tr>
      <w:tr>
        <w:trPr>
          <w:cantSplit/>
        </w:trPr>
        <w:tc>
          <w:tcPr>
            <w:tcW w:type="dxa" w:w="2778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operational workflow/audit</w:t>
            </w:r>
          </w:p>
        </w:tc>
        <w:tc>
          <w:tcPr>
            <w:tcW w:type="dxa" w:w="202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wf</w:t>
            </w:r>
          </w:p>
        </w:tc>
        <w:tc>
          <w:tcPr>
            <w:tcW w:type="dxa" w:w="4837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write</w:t>
            </w:r>
          </w:p>
        </w:tc>
      </w:tr>
      <w:tr>
        <w:trPr>
          <w:cantSplit/>
        </w:trPr>
        <w:tc>
          <w:tcPr>
            <w:tcW w:type="dxa" w:w="277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Rebate/claim</w:t>
            </w:r>
          </w:p>
        </w:tc>
        <w:tc>
          <w:tcPr>
            <w:tcW w:type="dxa" w:w="202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wf + CN evidence</w:t>
            </w:r>
          </w:p>
        </w:tc>
        <w:tc>
          <w:tcPr>
            <w:tcW w:type="dxa" w:w="483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write/read</w:t>
            </w:r>
          </w:p>
        </w:tc>
      </w:tr>
      <w:tr>
        <w:trPr>
          <w:cantSplit/>
        </w:trPr>
        <w:tc>
          <w:tcPr>
            <w:tcW w:type="dxa" w:w="2778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Weigh source</w:t>
            </w:r>
          </w:p>
        </w:tc>
        <w:tc>
          <w:tcPr>
            <w:tcW w:type="dxa" w:w="202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TruckScale</w:t>
            </w:r>
          </w:p>
        </w:tc>
        <w:tc>
          <w:tcPr>
            <w:tcW w:type="dxa" w:w="4837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completed records read-only; tbl_keyone pre-weigh queue write</w:t>
            </w:r>
          </w:p>
        </w:tc>
      </w:tr>
      <w:tr>
        <w:trPr>
          <w:cantSplit/>
        </w:trPr>
        <w:tc>
          <w:tcPr>
            <w:tcW w:type="dxa" w:w="277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Paper custody</w:t>
            </w:r>
          </w:p>
        </w:tc>
        <w:tc>
          <w:tcPr>
            <w:tcW w:type="dxa" w:w="202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wf</w:t>
            </w:r>
          </w:p>
        </w:tc>
        <w:tc>
          <w:tcPr>
            <w:tcW w:type="dxa" w:w="483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write</w:t>
            </w:r>
          </w:p>
        </w:tc>
      </w:tr>
    </w:tbl>
    <w:p>
      <w:pPr>
        <w:pStyle w:val="Heading3"/>
        <w:keepNext/>
      </w:pPr>
      <w:r>
        <w:rPr>
          <w:rFonts w:ascii="Kanit" w:hAnsi="Kanit" w:eastAsia="Kanit" w:cs="Kanit"/>
          <w:b/>
          <w:color w:val="2B8C82"/>
          <w:sz w:val="23"/>
        </w:rPr>
        <w:t>Integration sequence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4F8FA"/>
          <w:left w:val="single" w:sz="0" w:color="F4F8FA"/>
          <w:bottom w:val="single" w:sz="0" w:color="F4F8FA"/>
          <w:right w:val="single" w:sz="0" w:color="F4F8FA"/>
          <w:insideH w:val="single" w:sz="0" w:color="F4F8FA"/>
          <w:insideV w:val="single" w:sz="0" w:color="F4F8FA"/>
        </w:tblBorders>
      </w:tblPr>
      <w:tblGrid>
        <w:gridCol w:w="198"/>
        <w:gridCol w:w="9441"/>
      </w:tblGrid>
      <w:tr>
        <w:tc>
          <w:tcPr>
            <w:tcW w:type="dxa" w:w="198"/>
            <w:shd w:fill="2B8C82"/>
          </w:tcPr>
          <w:p>
            <w:r/>
          </w:p>
        </w:tc>
        <w:tc>
          <w:tcPr>
            <w:tcW w:type="dxa" w:w="9441"/>
            <w:shd w:fill="F4F8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Kanit" w:hAnsi="Kanit" w:eastAsia="Kanit" w:cs="Kanit"/>
                <w:b/>
                <w:color w:val="15334A"/>
                <w:sz w:val="19"/>
              </w:rPr>
              <w:t xml:space="preserve">Diagram source  </w:t>
            </w:r>
            <w:r>
              <w:rPr>
                <w:rFonts w:ascii="Prompt" w:hAnsi="Prompt" w:eastAsia="Prompt" w:cs="Prompt"/>
                <w:b w:val="0"/>
                <w:color w:val="1C2730"/>
                <w:sz w:val="18"/>
              </w:rPr>
              <w:t>Mermaid source is retained in Markdown; the reviewed high-resolution rendering is embedded in the figure section.</w:t>
            </w:r>
          </w:p>
        </w:tc>
      </w:tr>
    </w:tbl>
    <w:p>
      <w:pPr>
        <w:spacing w:after="0" w:line="96" w:lineRule="auto"/>
      </w:pPr>
    </w:p>
    <w:p>
      <w:pPr>
        <w:pStyle w:val="Heading3"/>
        <w:keepNext/>
      </w:pPr>
      <w:r>
        <w:rPr>
          <w:rFonts w:ascii="Kanit" w:hAnsi="Kanit" w:eastAsia="Kanit" w:cs="Kanit"/>
          <w:b/>
          <w:color w:val="2B8C82"/>
          <w:sz w:val="23"/>
        </w:rPr>
        <w:t>Production topology target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C2730"/>
          <w:sz w:val="18"/>
        </w:rPr>
        <w:t>Frontend through managed static hosting/CDN or on-prem Nginx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C2730"/>
          <w:sz w:val="18"/>
        </w:rPr>
        <w:t>Backend as immutable container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C2730"/>
          <w:sz w:val="18"/>
        </w:rPr>
        <w:t>SQL Server via private network/VPN/allowlist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C2730"/>
          <w:sz w:val="18"/>
        </w:rPr>
        <w:t>TruckScale via private connectivity or managed replica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C2730"/>
          <w:sz w:val="18"/>
        </w:rPr>
        <w:t>centralized secret management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C2730"/>
          <w:sz w:val="18"/>
        </w:rPr>
        <w:t>monitoring/alerting/backup validation before Full Production</w:t>
      </w:r>
    </w:p>
    <w:p>
      <w:pPr>
        <w:pStyle w:val="Heading3"/>
        <w:keepNext/>
      </w:pPr>
      <w:r>
        <w:rPr>
          <w:rFonts w:ascii="Kanit" w:hAnsi="Kanit" w:eastAsia="Kanit" w:cs="Kanit"/>
          <w:b/>
          <w:color w:val="2B8C82"/>
          <w:sz w:val="23"/>
        </w:rPr>
        <w:t>Current implementation 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7D5DC"/>
          <w:left w:val="single" w:sz="6" w:color="C7D5DC"/>
          <w:bottom w:val="single" w:sz="6" w:color="C7D5DC"/>
          <w:right w:val="single" w:sz="6" w:color="C7D5DC"/>
          <w:insideH w:val="single" w:sz="6" w:color="C7D5DC"/>
          <w:insideV w:val="single" w:sz="6" w:color="C7D5DC"/>
        </w:tblBorders>
      </w:tblPr>
      <w:tblGrid>
        <w:gridCol w:w="3136"/>
        <w:gridCol w:w="6503"/>
      </w:tblGrid>
      <w:tr>
        <w:trPr>
          <w:tblHeader w:val="true"/>
          <w:cantSplit/>
        </w:trPr>
        <w:tc>
          <w:tcPr>
            <w:tcW w:type="dxa" w:w="3136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View</w:t>
            </w:r>
          </w:p>
        </w:tc>
        <w:tc>
          <w:tcPr>
            <w:tcW w:type="dxa" w:w="6503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Source-aligned fact</w:t>
            </w:r>
          </w:p>
        </w:tc>
      </w:tr>
      <w:tr>
        <w:trPr>
          <w:cantSplit/>
        </w:trPr>
        <w:tc>
          <w:tcPr>
            <w:tcW w:type="dxa" w:w="3136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Runtime</w:t>
            </w:r>
          </w:p>
        </w:tc>
        <w:tc>
          <w:tcPr>
            <w:tcW w:type="dxa" w:w="650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frontend, backend and root packages declare version 1.0.1</w:t>
            </w:r>
          </w:p>
        </w:tc>
      </w:tr>
      <w:tr>
        <w:trPr>
          <w:cantSplit/>
        </w:trPr>
        <w:tc>
          <w:tcPr>
            <w:tcW w:type="dxa" w:w="313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Application surface</w:t>
            </w:r>
          </w:p>
        </w:tc>
        <w:tc>
          <w:tcPr>
            <w:tcW w:type="dxa" w:w="650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22 portal keys, 8 roles, 17 mounted API route modules and 160 detected endpoints</w:t>
            </w:r>
          </w:p>
        </w:tc>
      </w:tr>
      <w:tr>
        <w:trPr>
          <w:cantSplit/>
        </w:trPr>
        <w:tc>
          <w:tcPr>
            <w:tcW w:type="dxa" w:w="3136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Persistence</w:t>
            </w:r>
          </w:p>
        </w:tc>
        <w:tc>
          <w:tcPr>
            <w:tcW w:type="dxa" w:w="650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SQL Server wf operational extension, controlled WINSpeed dbo, TruckScale MySQL</w:t>
            </w:r>
          </w:p>
        </w:tc>
      </w:tr>
      <w:tr>
        <w:trPr>
          <w:cantSplit/>
        </w:trPr>
        <w:tc>
          <w:tcPr>
            <w:tcW w:type="dxa" w:w="313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Schema evolution</w:t>
            </w:r>
          </w:p>
        </w:tc>
        <w:tc>
          <w:tcPr>
            <w:tcW w:type="dxa" w:w="650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55 sequenced migration files through sequence 055 with no duplicate sequence</w:t>
            </w:r>
          </w:p>
        </w:tc>
      </w:tr>
      <w:tr>
        <w:trPr>
          <w:cantSplit/>
        </w:trPr>
        <w:tc>
          <w:tcPr>
            <w:tcW w:type="dxa" w:w="3136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Controlled external writes</w:t>
            </w:r>
          </w:p>
        </w:tc>
        <w:tc>
          <w:tcPr>
            <w:tcW w:type="dxa" w:w="650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33 detected dbo write statements require contract review; TruckScale writes are limited to 2 statements targeting tbl_keyone</w:t>
            </w:r>
          </w:p>
        </w:tc>
      </w:tr>
      <w:tr>
        <w:trPr>
          <w:cantSplit/>
        </w:trPr>
        <w:tc>
          <w:tcPr>
            <w:tcW w:type="dxa" w:w="313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Automated evidence</w:t>
            </w:r>
          </w:p>
        </w:tc>
        <w:tc>
          <w:tcPr>
            <w:tcW w:type="dxa" w:w="650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E2E run 2026-07-23T09-56-59-217Z: 10/10 passed, source stable, SQL Server/MySQL health up</w:t>
            </w:r>
          </w:p>
        </w:tc>
      </w:tr>
    </w:tbl>
    <w:p>
      <w:pPr>
        <w:pStyle w:val="Heading3"/>
        <w:keepNext/>
      </w:pPr>
      <w:r>
        <w:rPr>
          <w:rFonts w:ascii="Kanit" w:hAnsi="Kanit" w:eastAsia="Kanit" w:cs="Kanit"/>
          <w:b/>
          <w:color w:val="2B8C82"/>
          <w:sz w:val="23"/>
        </w:rPr>
        <w:t>Architecture concerns and verification gates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C2730"/>
          <w:sz w:val="18"/>
        </w:rPr>
        <w:t>Production connectivity, scale hardware, printing, QR scanning and manual recovery remain manual/integration test gates.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C2730"/>
          <w:sz w:val="18"/>
        </w:rPr>
        <w:t>Direct WINSpeed writes are exceptions governed by ADR-003 and the approved integration contract; detection count is an inventory signal, not an approval.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C2730"/>
          <w:sz w:val="18"/>
        </w:rPr>
        <w:t>Deployment secrets, backup restore, alert delivery and network failover require environment-specific evidence before go-live.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C2730"/>
          <w:sz w:val="18"/>
        </w:rPr>
        <w:t>Architecture descriptions follow ISO/IEC/IEEE 42010:2022 concepts: stakeholder concerns, viewpoints, views, decisions and correspondence to implementation evidence.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C2730"/>
          <w:sz w:val="18"/>
        </w:rPr>
        <w:t>Life-cycle deliverables and reviews are organized against ISO/IEC/IEEE 12207:2026 and information-item control follows ISO/IEC/IEEE 15289:2019; these references do not by themselves certify the solution.</w:t>
      </w:r>
    </w:p>
    <w:p>
      <w:r>
        <w:br w:type="page"/>
      </w:r>
    </w:p>
    <w:p>
      <w:pPr>
        <w:pStyle w:val="Heading1"/>
        <w:keepNext/>
      </w:pPr>
      <w:r>
        <w:rPr>
          <w:rFonts w:ascii="Kanit" w:hAnsi="Kanit" w:eastAsia="Kanit" w:cs="Kanit"/>
          <w:b/>
          <w:color w:val="15334A"/>
          <w:sz w:val="34"/>
        </w:rPr>
        <w:t>C4 Architecture Views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4F8FA"/>
          <w:left w:val="single" w:sz="0" w:color="F4F8FA"/>
          <w:bottom w:val="single" w:sz="0" w:color="F4F8FA"/>
          <w:right w:val="single" w:sz="0" w:color="F4F8FA"/>
          <w:insideH w:val="single" w:sz="0" w:color="F4F8FA"/>
          <w:insideV w:val="single" w:sz="0" w:color="F4F8FA"/>
        </w:tblBorders>
      </w:tblPr>
      <w:tblGrid>
        <w:gridCol w:w="198"/>
        <w:gridCol w:w="9441"/>
      </w:tblGrid>
      <w:tr>
        <w:tc>
          <w:tcPr>
            <w:tcW w:type="dxa" w:w="198"/>
            <w:shd w:fill="2B8C82"/>
          </w:tcPr>
          <w:p>
            <w:r/>
          </w:p>
        </w:tc>
        <w:tc>
          <w:tcPr>
            <w:tcW w:type="dxa" w:w="9441"/>
            <w:shd w:fill="F4F8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Kanit" w:hAnsi="Kanit" w:eastAsia="Kanit" w:cs="Kanit"/>
                <w:b/>
                <w:color w:val="15334A"/>
                <w:sz w:val="19"/>
              </w:rPr>
              <w:t xml:space="preserve">Authoritative source  </w:t>
            </w:r>
            <w:r>
              <w:rPr>
                <w:rFonts w:ascii="Prompt" w:hAnsi="Prompt" w:eastAsia="Prompt" w:cs="Prompt"/>
                <w:b w:val="0"/>
                <w:color w:val="1C2730"/>
                <w:sz w:val="18"/>
              </w:rPr>
              <w:t>docs/enterprise/03-SOLUTION-ARCHITECTURE/C4-ARCHITECTURE.md · SHA-256 101BACF722B8A600204A0B0106779C518BF0F43692D2A1CC6013EC1EB3DA4FD7 · merged as Review content</w:t>
            </w:r>
          </w:p>
        </w:tc>
      </w:tr>
    </w:tbl>
    <w:p>
      <w:pPr>
        <w:spacing w:after="0" w:line="96" w:lineRule="auto"/>
      </w:pPr>
    </w:p>
    <w:p>
      <w:pPr>
        <w:pStyle w:val="Heading3"/>
        <w:keepNext/>
      </w:pPr>
      <w:r>
        <w:rPr>
          <w:rFonts w:ascii="Kanit" w:hAnsi="Kanit" w:eastAsia="Kanit" w:cs="Kanit"/>
          <w:b/>
          <w:color w:val="2B8C82"/>
          <w:sz w:val="23"/>
        </w:rPr>
        <w:t>Level 1 — System Context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4F8FA"/>
          <w:left w:val="single" w:sz="0" w:color="F4F8FA"/>
          <w:bottom w:val="single" w:sz="0" w:color="F4F8FA"/>
          <w:right w:val="single" w:sz="0" w:color="F4F8FA"/>
          <w:insideH w:val="single" w:sz="0" w:color="F4F8FA"/>
          <w:insideV w:val="single" w:sz="0" w:color="F4F8FA"/>
        </w:tblBorders>
      </w:tblPr>
      <w:tblGrid>
        <w:gridCol w:w="198"/>
        <w:gridCol w:w="9441"/>
      </w:tblGrid>
      <w:tr>
        <w:tc>
          <w:tcPr>
            <w:tcW w:type="dxa" w:w="198"/>
            <w:shd w:fill="2B8C82"/>
          </w:tcPr>
          <w:p>
            <w:r/>
          </w:p>
        </w:tc>
        <w:tc>
          <w:tcPr>
            <w:tcW w:type="dxa" w:w="9441"/>
            <w:shd w:fill="F4F8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Kanit" w:hAnsi="Kanit" w:eastAsia="Kanit" w:cs="Kanit"/>
                <w:b/>
                <w:color w:val="15334A"/>
                <w:sz w:val="19"/>
              </w:rPr>
              <w:t xml:space="preserve">Diagram source  </w:t>
            </w:r>
            <w:r>
              <w:rPr>
                <w:rFonts w:ascii="Prompt" w:hAnsi="Prompt" w:eastAsia="Prompt" w:cs="Prompt"/>
                <w:b w:val="0"/>
                <w:color w:val="1C2730"/>
                <w:sz w:val="18"/>
              </w:rPr>
              <w:t>Mermaid source is retained in Markdown; the reviewed high-resolution rendering is embedded in the figure section.</w:t>
            </w:r>
          </w:p>
        </w:tc>
      </w:tr>
    </w:tbl>
    <w:p>
      <w:pPr>
        <w:spacing w:after="0" w:line="96" w:lineRule="auto"/>
      </w:pPr>
    </w:p>
    <w:p>
      <w:pPr>
        <w:pStyle w:val="Heading3"/>
        <w:keepNext/>
      </w:pPr>
      <w:r>
        <w:rPr>
          <w:rFonts w:ascii="Kanit" w:hAnsi="Kanit" w:eastAsia="Kanit" w:cs="Kanit"/>
          <w:b/>
          <w:color w:val="2B8C82"/>
          <w:sz w:val="23"/>
        </w:rPr>
        <w:t>Level 2 — Containers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4F8FA"/>
          <w:left w:val="single" w:sz="0" w:color="F4F8FA"/>
          <w:bottom w:val="single" w:sz="0" w:color="F4F8FA"/>
          <w:right w:val="single" w:sz="0" w:color="F4F8FA"/>
          <w:insideH w:val="single" w:sz="0" w:color="F4F8FA"/>
          <w:insideV w:val="single" w:sz="0" w:color="F4F8FA"/>
        </w:tblBorders>
      </w:tblPr>
      <w:tblGrid>
        <w:gridCol w:w="198"/>
        <w:gridCol w:w="9441"/>
      </w:tblGrid>
      <w:tr>
        <w:tc>
          <w:tcPr>
            <w:tcW w:type="dxa" w:w="198"/>
            <w:shd w:fill="2B8C82"/>
          </w:tcPr>
          <w:p>
            <w:r/>
          </w:p>
        </w:tc>
        <w:tc>
          <w:tcPr>
            <w:tcW w:type="dxa" w:w="9441"/>
            <w:shd w:fill="F4F8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Kanit" w:hAnsi="Kanit" w:eastAsia="Kanit" w:cs="Kanit"/>
                <w:b/>
                <w:color w:val="15334A"/>
                <w:sz w:val="19"/>
              </w:rPr>
              <w:t xml:space="preserve">Diagram source  </w:t>
            </w:r>
            <w:r>
              <w:rPr>
                <w:rFonts w:ascii="Prompt" w:hAnsi="Prompt" w:eastAsia="Prompt" w:cs="Prompt"/>
                <w:b w:val="0"/>
                <w:color w:val="1C2730"/>
                <w:sz w:val="18"/>
              </w:rPr>
              <w:t>Mermaid source is retained in Markdown; the reviewed high-resolution rendering is embedded in the figure section.</w:t>
            </w:r>
          </w:p>
        </w:tc>
      </w:tr>
    </w:tbl>
    <w:p>
      <w:pPr>
        <w:spacing w:after="0" w:line="96" w:lineRule="auto"/>
      </w:pPr>
    </w:p>
    <w:p>
      <w:pPr>
        <w:pStyle w:val="Heading3"/>
        <w:keepNext/>
      </w:pPr>
      <w:r>
        <w:rPr>
          <w:rFonts w:ascii="Kanit" w:hAnsi="Kanit" w:eastAsia="Kanit" w:cs="Kanit"/>
          <w:b/>
          <w:color w:val="2B8C82"/>
          <w:sz w:val="23"/>
        </w:rPr>
        <w:t>Level 3 — Backend components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7D5DC"/>
          <w:left w:val="single" w:sz="6" w:color="C7D5DC"/>
          <w:bottom w:val="single" w:sz="6" w:color="C7D5DC"/>
          <w:right w:val="single" w:sz="6" w:color="C7D5DC"/>
          <w:insideH w:val="single" w:sz="6" w:color="C7D5DC"/>
          <w:insideV w:val="single" w:sz="6" w:color="C7D5DC"/>
        </w:tblBorders>
      </w:tblPr>
      <w:tblGrid>
        <w:gridCol w:w="2642"/>
        <w:gridCol w:w="3929"/>
        <w:gridCol w:w="3073"/>
      </w:tblGrid>
      <w:tr>
        <w:trPr>
          <w:tblHeader w:val="true"/>
          <w:cantSplit/>
        </w:trPr>
        <w:tc>
          <w:tcPr>
            <w:tcW w:type="dxa" w:w="2642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3929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Responsibility</w:t>
            </w:r>
          </w:p>
        </w:tc>
        <w:tc>
          <w:tcPr>
            <w:tcW w:type="dxa" w:w="3073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Boundary</w:t>
            </w:r>
          </w:p>
        </w:tc>
      </w:tr>
      <w:tr>
        <w:trPr>
          <w:cantSplit/>
        </w:trPr>
        <w:tc>
          <w:tcPr>
            <w:tcW w:type="dxa" w:w="2642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Auth middleware</w:t>
            </w:r>
          </w:p>
        </w:tc>
        <w:tc>
          <w:tcPr>
            <w:tcW w:type="dxa" w:w="3929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token/RBAC/context</w:t>
            </w:r>
          </w:p>
        </w:tc>
        <w:tc>
          <w:tcPr>
            <w:tcW w:type="dxa" w:w="307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protected endpoints</w:t>
            </w:r>
          </w:p>
        </w:tc>
      </w:tr>
      <w:tr>
        <w:trPr>
          <w:cantSplit/>
        </w:trPr>
        <w:tc>
          <w:tcPr>
            <w:tcW w:type="dxa" w:w="264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Sales service</w:t>
            </w:r>
          </w:p>
        </w:tc>
        <w:tc>
          <w:tcPr>
            <w:tcW w:type="dxa" w:w="3929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lifecycle, verification, audit</w:t>
            </w:r>
          </w:p>
        </w:tc>
        <w:tc>
          <w:tcPr>
            <w:tcW w:type="dxa" w:w="307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wf + controlled contract</w:t>
            </w:r>
          </w:p>
        </w:tc>
      </w:tr>
      <w:tr>
        <w:trPr>
          <w:cantSplit/>
        </w:trPr>
        <w:tc>
          <w:tcPr>
            <w:tcW w:type="dxa" w:w="2642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Rebate service</w:t>
            </w:r>
          </w:p>
        </w:tc>
        <w:tc>
          <w:tcPr>
            <w:tcW w:type="dxa" w:w="3929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plan/pool/ledger/FIFO/claim</w:t>
            </w:r>
          </w:p>
        </w:tc>
        <w:tc>
          <w:tcPr>
            <w:tcW w:type="dxa" w:w="307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wf</w:t>
            </w:r>
          </w:p>
        </w:tc>
      </w:tr>
      <w:tr>
        <w:trPr>
          <w:cantSplit/>
        </w:trPr>
        <w:tc>
          <w:tcPr>
            <w:tcW w:type="dxa" w:w="264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Weigh service</w:t>
            </w:r>
          </w:p>
        </w:tc>
        <w:tc>
          <w:tcPr>
            <w:tcW w:type="dxa" w:w="3929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lookup/normalize/ticket persistence</w:t>
            </w:r>
          </w:p>
        </w:tc>
        <w:tc>
          <w:tcPr>
            <w:tcW w:type="dxa" w:w="307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TruckScale read + wf</w:t>
            </w:r>
          </w:p>
        </w:tc>
      </w:tr>
      <w:tr>
        <w:trPr>
          <w:cantSplit/>
        </w:trPr>
        <w:tc>
          <w:tcPr>
            <w:tcW w:type="dxa" w:w="2642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Paper service</w:t>
            </w:r>
          </w:p>
        </w:tc>
        <w:tc>
          <w:tcPr>
            <w:tcW w:type="dxa" w:w="3929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copies/QR/scans/custody</w:t>
            </w:r>
          </w:p>
        </w:tc>
        <w:tc>
          <w:tcPr>
            <w:tcW w:type="dxa" w:w="307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wf/storage</w:t>
            </w:r>
          </w:p>
        </w:tc>
      </w:tr>
      <w:tr>
        <w:trPr>
          <w:cantSplit/>
        </w:trPr>
        <w:tc>
          <w:tcPr>
            <w:tcW w:type="dxa" w:w="264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Integration service</w:t>
            </w:r>
          </w:p>
        </w:tc>
        <w:tc>
          <w:tcPr>
            <w:tcW w:type="dxa" w:w="3929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outbox/import/reconcile/idempotency</w:t>
            </w:r>
          </w:p>
        </w:tc>
        <w:tc>
          <w:tcPr>
            <w:tcW w:type="dxa" w:w="307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WINSpeed + wf</w:t>
            </w:r>
          </w:p>
        </w:tc>
      </w:tr>
      <w:tr>
        <w:trPr>
          <w:cantSplit/>
        </w:trPr>
        <w:tc>
          <w:tcPr>
            <w:tcW w:type="dxa" w:w="2642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Reporting service</w:t>
            </w:r>
          </w:p>
        </w:tc>
        <w:tc>
          <w:tcPr>
            <w:tcW w:type="dxa" w:w="3929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read models/export</w:t>
            </w:r>
          </w:p>
        </w:tc>
        <w:tc>
          <w:tcPr>
            <w:tcW w:type="dxa" w:w="307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views/read models</w:t>
            </w:r>
          </w:p>
        </w:tc>
      </w:tr>
      <w:tr>
        <w:trPr>
          <w:cantSplit/>
        </w:trPr>
        <w:tc>
          <w:tcPr>
            <w:tcW w:type="dxa" w:w="264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Admin service</w:t>
            </w:r>
          </w:p>
        </w:tc>
        <w:tc>
          <w:tcPr>
            <w:tcW w:type="dxa" w:w="3929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users/roles/policy/master</w:t>
            </w:r>
          </w:p>
        </w:tc>
        <w:tc>
          <w:tcPr>
            <w:tcW w:type="dxa" w:w="307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wf/contracts</w:t>
            </w:r>
          </w:p>
        </w:tc>
      </w:tr>
      <w:tr>
        <w:trPr>
          <w:cantSplit/>
        </w:trPr>
        <w:tc>
          <w:tcPr>
            <w:tcW w:type="dxa" w:w="2642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Health/telemetry</w:t>
            </w:r>
          </w:p>
        </w:tc>
        <w:tc>
          <w:tcPr>
            <w:tcW w:type="dxa" w:w="3929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dependency status/error metrics</w:t>
            </w:r>
          </w:p>
        </w:tc>
        <w:tc>
          <w:tcPr>
            <w:tcW w:type="dxa" w:w="307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runtime</w:t>
            </w:r>
          </w:p>
        </w:tc>
      </w:tr>
    </w:tbl>
    <w:p>
      <w:pPr>
        <w:pStyle w:val="Heading3"/>
        <w:keepNext/>
      </w:pPr>
      <w:r>
        <w:rPr>
          <w:rFonts w:ascii="Kanit" w:hAnsi="Kanit" w:eastAsia="Kanit" w:cs="Kanit"/>
          <w:b/>
          <w:color w:val="2B8C82"/>
          <w:sz w:val="23"/>
        </w:rPr>
        <w:t>Level 4 — Code constraints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C2730"/>
          <w:sz w:val="18"/>
        </w:rPr>
        <w:t>routes must not hold financial/business rules that belong in services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C2730"/>
          <w:sz w:val="18"/>
        </w:rPr>
        <w:t>every mutable workflow emits audit event through shared service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C2730"/>
          <w:sz w:val="18"/>
        </w:rPr>
        <w:t>parameterized SQL only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C2730"/>
          <w:sz w:val="18"/>
        </w:rPr>
        <w:t>cross-database calls require timeout and explicit contract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C2730"/>
          <w:sz w:val="18"/>
        </w:rPr>
        <w:t>write operations support idempotency where retry can duplicate outcome</w:t>
      </w:r>
    </w:p>
    <w:p>
      <w:r>
        <w:br w:type="page"/>
      </w:r>
    </w:p>
    <w:p>
      <w:pPr>
        <w:pStyle w:val="Heading1"/>
        <w:keepNext/>
      </w:pPr>
      <w:r>
        <w:rPr>
          <w:rFonts w:ascii="Kanit" w:hAnsi="Kanit" w:eastAsia="Kanit" w:cs="Kanit"/>
          <w:b/>
          <w:color w:val="15334A"/>
          <w:sz w:val="34"/>
        </w:rPr>
        <w:t>ADR-001 — Layered Non-Invasive Integration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4F8FA"/>
          <w:left w:val="single" w:sz="0" w:color="F4F8FA"/>
          <w:bottom w:val="single" w:sz="0" w:color="F4F8FA"/>
          <w:right w:val="single" w:sz="0" w:color="F4F8FA"/>
          <w:insideH w:val="single" w:sz="0" w:color="F4F8FA"/>
          <w:insideV w:val="single" w:sz="0" w:color="F4F8FA"/>
        </w:tblBorders>
      </w:tblPr>
      <w:tblGrid>
        <w:gridCol w:w="198"/>
        <w:gridCol w:w="9441"/>
      </w:tblGrid>
      <w:tr>
        <w:tc>
          <w:tcPr>
            <w:tcW w:type="dxa" w:w="198"/>
            <w:shd w:fill="2B8C82"/>
          </w:tcPr>
          <w:p>
            <w:r/>
          </w:p>
        </w:tc>
        <w:tc>
          <w:tcPr>
            <w:tcW w:type="dxa" w:w="9441"/>
            <w:shd w:fill="F4F8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Kanit" w:hAnsi="Kanit" w:eastAsia="Kanit" w:cs="Kanit"/>
                <w:b/>
                <w:color w:val="15334A"/>
                <w:sz w:val="19"/>
              </w:rPr>
              <w:t xml:space="preserve">Authoritative source  </w:t>
            </w:r>
            <w:r>
              <w:rPr>
                <w:rFonts w:ascii="Prompt" w:hAnsi="Prompt" w:eastAsia="Prompt" w:cs="Prompt"/>
                <w:b w:val="0"/>
                <w:color w:val="1C2730"/>
                <w:sz w:val="18"/>
              </w:rPr>
              <w:t>docs/enterprise/03-SOLUTION-ARCHITECTURE/ADR-001-LAYERED-NONINVASIVE.md · SHA-256 DDD206566D005742700117157341B40C9BBD1435E609CF3A693B50C0804B0C82 · merged as Review content</w:t>
            </w:r>
          </w:p>
        </w:tc>
      </w:tr>
    </w:tbl>
    <w:p>
      <w:pPr>
        <w:spacing w:after="0" w:line="96" w:lineRule="auto"/>
      </w:pPr>
    </w:p>
    <w:p>
      <w:pPr>
        <w:pStyle w:val="Heading3"/>
        <w:keepNext/>
      </w:pPr>
      <w:r>
        <w:rPr>
          <w:rFonts w:ascii="Kanit" w:hAnsi="Kanit" w:eastAsia="Kanit" w:cs="Kanit"/>
          <w:b/>
          <w:color w:val="2B8C82"/>
          <w:sz w:val="23"/>
        </w:rPr>
        <w:t>Context</w:t>
      </w:r>
    </w:p>
    <w:p>
      <w:pPr>
        <w:spacing w:after="60"/>
      </w:pPr>
      <w:r>
        <w:rPr>
          <w:rFonts w:ascii="Prompt" w:hAnsi="Prompt" w:eastAsia="Prompt" w:cs="Prompt"/>
          <w:i w:val="0"/>
          <w:color w:val="1C2730"/>
          <w:sz w:val="18"/>
        </w:rPr>
        <w:t>WINSpeed is business-critical and owns historical master, finance and GL. Replacement creates unacceptable operating/accounting risk.</w:t>
      </w:r>
    </w:p>
    <w:p>
      <w:pPr>
        <w:pStyle w:val="Heading3"/>
        <w:keepNext/>
      </w:pPr>
      <w:r>
        <w:rPr>
          <w:rFonts w:ascii="Kanit" w:hAnsi="Kanit" w:eastAsia="Kanit" w:cs="Kanit"/>
          <w:b/>
          <w:color w:val="2B8C82"/>
          <w:sz w:val="23"/>
        </w:rPr>
        <w:t>Decision</w:t>
      </w:r>
    </w:p>
    <w:p>
      <w:pPr>
        <w:spacing w:after="60"/>
      </w:pPr>
      <w:r>
        <w:rPr>
          <w:rFonts w:ascii="Prompt" w:hAnsi="Prompt" w:eastAsia="Prompt" w:cs="Prompt"/>
          <w:i w:val="0"/>
          <w:color w:val="1C2730"/>
          <w:sz w:val="18"/>
        </w:rPr>
        <w:t>WS-Sale-App operates as operational extension: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C2730"/>
          <w:sz w:val="18"/>
        </w:rPr>
        <w:t>workflow/audit/rebate/paper/weigh data in wf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C2730"/>
          <w:sz w:val="18"/>
        </w:rPr>
        <w:t>WINSpeed dbo through approved read contracts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C2730"/>
          <w:sz w:val="18"/>
        </w:rPr>
        <w:t>external writes under ADR-003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C2730"/>
          <w:sz w:val="18"/>
        </w:rPr>
        <w:t>fallback remains available through WINSpeed/manual procedure</w:t>
      </w:r>
    </w:p>
    <w:p>
      <w:pPr>
        <w:pStyle w:val="Heading3"/>
        <w:keepNext/>
      </w:pPr>
      <w:r>
        <w:rPr>
          <w:rFonts w:ascii="Kanit" w:hAnsi="Kanit" w:eastAsia="Kanit" w:cs="Kanit"/>
          <w:b/>
          <w:color w:val="2B8C82"/>
          <w:sz w:val="23"/>
        </w:rPr>
        <w:t>Consequences</w:t>
      </w:r>
    </w:p>
    <w:p>
      <w:pPr>
        <w:spacing w:after="60"/>
      </w:pPr>
      <w:r>
        <w:rPr>
          <w:rFonts w:ascii="Prompt" w:hAnsi="Prompt" w:eastAsia="Prompt" w:cs="Prompt"/>
          <w:i w:val="0"/>
          <w:color w:val="1C2730"/>
          <w:sz w:val="18"/>
        </w:rPr>
        <w:t>Positive: lower replacement risk, direct data visibility where permitted, faster operational improvements.</w:t>
      </w:r>
    </w:p>
    <w:p>
      <w:pPr>
        <w:spacing w:after="60"/>
      </w:pPr>
      <w:r>
        <w:rPr>
          <w:rFonts w:ascii="Prompt" w:hAnsi="Prompt" w:eastAsia="Prompt" w:cs="Prompt"/>
          <w:i w:val="0"/>
          <w:color w:val="1C2730"/>
          <w:sz w:val="18"/>
        </w:rPr>
        <w:t>Negative: contracts/reconciliation mandatory; legacy data quality remains visible; raw table access is not a design substitute.</w:t>
      </w:r>
    </w:p>
    <w:p>
      <w:pPr>
        <w:pStyle w:val="Heading3"/>
        <w:keepNext/>
      </w:pPr>
      <w:r>
        <w:rPr>
          <w:rFonts w:ascii="Kanit" w:hAnsi="Kanit" w:eastAsia="Kanit" w:cs="Kanit"/>
          <w:b/>
          <w:color w:val="2B8C82"/>
          <w:sz w:val="23"/>
        </w:rPr>
        <w:t>Guardrails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C2730"/>
          <w:sz w:val="18"/>
        </w:rPr>
        <w:t>no schema modification to WINSpeed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C2730"/>
          <w:sz w:val="18"/>
        </w:rPr>
        <w:t>no direct GL/invoice/CN posting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C2730"/>
          <w:sz w:val="18"/>
        </w:rPr>
        <w:t>coexistence/reconciliation test at release gate</w:t>
      </w:r>
    </w:p>
    <w:p>
      <w:r>
        <w:br w:type="page"/>
      </w:r>
    </w:p>
    <w:p>
      <w:pPr>
        <w:pStyle w:val="Heading1"/>
        <w:keepNext/>
      </w:pPr>
      <w:r>
        <w:rPr>
          <w:rFonts w:ascii="Kanit" w:hAnsi="Kanit" w:eastAsia="Kanit" w:cs="Kanit"/>
          <w:b/>
          <w:color w:val="15334A"/>
          <w:sz w:val="34"/>
        </w:rPr>
        <w:t>ADR-002 — Three-Database Topology and Environment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4F8FA"/>
          <w:left w:val="single" w:sz="0" w:color="F4F8FA"/>
          <w:bottom w:val="single" w:sz="0" w:color="F4F8FA"/>
          <w:right w:val="single" w:sz="0" w:color="F4F8FA"/>
          <w:insideH w:val="single" w:sz="0" w:color="F4F8FA"/>
          <w:insideV w:val="single" w:sz="0" w:color="F4F8FA"/>
        </w:tblBorders>
      </w:tblPr>
      <w:tblGrid>
        <w:gridCol w:w="198"/>
        <w:gridCol w:w="9441"/>
      </w:tblGrid>
      <w:tr>
        <w:tc>
          <w:tcPr>
            <w:tcW w:type="dxa" w:w="198"/>
            <w:shd w:fill="2B8C82"/>
          </w:tcPr>
          <w:p>
            <w:r/>
          </w:p>
        </w:tc>
        <w:tc>
          <w:tcPr>
            <w:tcW w:type="dxa" w:w="9441"/>
            <w:shd w:fill="F4F8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Kanit" w:hAnsi="Kanit" w:eastAsia="Kanit" w:cs="Kanit"/>
                <w:b/>
                <w:color w:val="15334A"/>
                <w:sz w:val="19"/>
              </w:rPr>
              <w:t xml:space="preserve">Authoritative source  </w:t>
            </w:r>
            <w:r>
              <w:rPr>
                <w:rFonts w:ascii="Prompt" w:hAnsi="Prompt" w:eastAsia="Prompt" w:cs="Prompt"/>
                <w:b w:val="0"/>
                <w:color w:val="1C2730"/>
                <w:sz w:val="18"/>
              </w:rPr>
              <w:t>docs/enterprise/03-SOLUTION-ARCHITECTURE/ADR-002-DATABASE-TOPOLOGY.md · SHA-256 7001AB6065F504C91B5CD841061AFE7BD6FE076166576C72EDE720244B9E6A62 · merged as Review content</w:t>
            </w:r>
          </w:p>
        </w:tc>
      </w:tr>
    </w:tbl>
    <w:p>
      <w:pPr>
        <w:spacing w:after="0" w:line="96" w:lineRule="auto"/>
      </w:pPr>
    </w:p>
    <w:p>
      <w:pPr>
        <w:pStyle w:val="Heading3"/>
        <w:keepNext/>
      </w:pPr>
      <w:r>
        <w:rPr>
          <w:rFonts w:ascii="Kanit" w:hAnsi="Kanit" w:eastAsia="Kanit" w:cs="Kanit"/>
          <w:b/>
          <w:color w:val="2B8C82"/>
          <w:sz w:val="23"/>
        </w:rPr>
        <w:t>Context</w:t>
      </w:r>
    </w:p>
    <w:p>
      <w:pPr>
        <w:spacing w:after="60"/>
      </w:pPr>
      <w:r>
        <w:rPr>
          <w:rFonts w:ascii="Prompt" w:hAnsi="Prompt" w:eastAsia="Prompt" w:cs="Prompt"/>
          <w:i w:val="0"/>
          <w:color w:val="1C2730"/>
          <w:sz w:val="18"/>
        </w:rPr>
        <w:t>The solution uses SQL Server WINSpeed dbo, SQL Server wf schema, and TruckScale MySQL. Evidence shows wf/dbo share SQL Server while TruckScale is logically separate.</w:t>
      </w:r>
    </w:p>
    <w:p>
      <w:pPr>
        <w:pStyle w:val="Heading3"/>
        <w:keepNext/>
      </w:pPr>
      <w:r>
        <w:rPr>
          <w:rFonts w:ascii="Kanit" w:hAnsi="Kanit" w:eastAsia="Kanit" w:cs="Kanit"/>
          <w:b/>
          <w:color w:val="2B8C82"/>
          <w:sz w:val="23"/>
        </w:rPr>
        <w:t>Decision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C2730"/>
          <w:sz w:val="18"/>
        </w:rPr>
        <w:t>wf is write-owned operational schema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C2730"/>
          <w:sz w:val="18"/>
        </w:rPr>
        <w:t>dbo is legacy/external schema controlled by ADR-003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C2730"/>
          <w:sz w:val="18"/>
        </w:rPr>
        <w:t>TruckScale uses a dedicated service/pool: completed-weigh/reference tables are read-only and pre-weigh queue writes are restricted to tbl_keyone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C2730"/>
          <w:sz w:val="18"/>
        </w:rPr>
        <w:t>environment selection propagates through explicit request context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C2730"/>
          <w:sz w:val="18"/>
        </w:rPr>
        <w:t>production environment register names host, DB, runtime identity, owner, backup policy and data class for each source</w:t>
      </w:r>
    </w:p>
    <w:p>
      <w:pPr>
        <w:pStyle w:val="Heading3"/>
        <w:keepNext/>
      </w:pPr>
      <w:r>
        <w:rPr>
          <w:rFonts w:ascii="Kanit" w:hAnsi="Kanit" w:eastAsia="Kanit" w:cs="Kanit"/>
          <w:b/>
          <w:color w:val="2B8C82"/>
          <w:sz w:val="23"/>
        </w:rPr>
        <w:t>Consequences</w:t>
      </w:r>
    </w:p>
    <w:p>
      <w:pPr>
        <w:spacing w:after="60"/>
      </w:pPr>
      <w:r>
        <w:rPr>
          <w:rFonts w:ascii="Prompt" w:hAnsi="Prompt" w:eastAsia="Prompt" w:cs="Prompt"/>
          <w:i w:val="0"/>
          <w:color w:val="1C2730"/>
          <w:sz w:val="18"/>
        </w:rPr>
        <w:t>No cross-engine join is assumed at runtime. Cross-source correlation is resolved through application/service logic or an approved read model.</w:t>
      </w:r>
    </w:p>
    <w:p>
      <w:r>
        <w:br w:type="page"/>
      </w:r>
    </w:p>
    <w:p>
      <w:pPr>
        <w:pStyle w:val="Heading1"/>
        <w:keepNext/>
      </w:pPr>
      <w:r>
        <w:rPr>
          <w:rFonts w:ascii="Kanit" w:hAnsi="Kanit" w:eastAsia="Kanit" w:cs="Kanit"/>
          <w:b/>
          <w:color w:val="15334A"/>
          <w:sz w:val="34"/>
        </w:rPr>
        <w:t>ADR-003 — WINSpeed Write Boundary and Financial Safety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4F8FA"/>
          <w:left w:val="single" w:sz="0" w:color="F4F8FA"/>
          <w:bottom w:val="single" w:sz="0" w:color="F4F8FA"/>
          <w:right w:val="single" w:sz="0" w:color="F4F8FA"/>
          <w:insideH w:val="single" w:sz="0" w:color="F4F8FA"/>
          <w:insideV w:val="single" w:sz="0" w:color="F4F8FA"/>
        </w:tblBorders>
      </w:tblPr>
      <w:tblGrid>
        <w:gridCol w:w="198"/>
        <w:gridCol w:w="9441"/>
      </w:tblGrid>
      <w:tr>
        <w:tc>
          <w:tcPr>
            <w:tcW w:type="dxa" w:w="198"/>
            <w:shd w:fill="2B8C82"/>
          </w:tcPr>
          <w:p>
            <w:r/>
          </w:p>
        </w:tc>
        <w:tc>
          <w:tcPr>
            <w:tcW w:type="dxa" w:w="9441"/>
            <w:shd w:fill="F4F8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Kanit" w:hAnsi="Kanit" w:eastAsia="Kanit" w:cs="Kanit"/>
                <w:b/>
                <w:color w:val="15334A"/>
                <w:sz w:val="19"/>
              </w:rPr>
              <w:t xml:space="preserve">Authoritative source  </w:t>
            </w:r>
            <w:r>
              <w:rPr>
                <w:rFonts w:ascii="Prompt" w:hAnsi="Prompt" w:eastAsia="Prompt" w:cs="Prompt"/>
                <w:b w:val="0"/>
                <w:color w:val="1C2730"/>
                <w:sz w:val="18"/>
              </w:rPr>
              <w:t>docs/enterprise/03-SOLUTION-ARCHITECTURE/ADR-003-WINSPEED-WRITE-BOUNDARY.md · SHA-256 42316FD65943B863B07F10908E11050644961DB9368466FCE9D9B29EE194557A · merged as Review content</w:t>
            </w:r>
          </w:p>
        </w:tc>
      </w:tr>
    </w:tbl>
    <w:p>
      <w:pPr>
        <w:spacing w:after="0" w:line="96" w:lineRule="auto"/>
      </w:pPr>
    </w:p>
    <w:p>
      <w:pPr>
        <w:pStyle w:val="Heading3"/>
        <w:keepNext/>
      </w:pPr>
      <w:r>
        <w:rPr>
          <w:rFonts w:ascii="Kanit" w:hAnsi="Kanit" w:eastAsia="Kanit" w:cs="Kanit"/>
          <w:b/>
          <w:color w:val="2B8C82"/>
          <w:sz w:val="23"/>
        </w:rPr>
        <w:t>Problem</w:t>
      </w:r>
    </w:p>
    <w:p>
      <w:pPr>
        <w:spacing w:after="60"/>
      </w:pPr>
      <w:r>
        <w:rPr>
          <w:rFonts w:ascii="Prompt" w:hAnsi="Prompt" w:eastAsia="Prompt" w:cs="Prompt"/>
          <w:i w:val="0"/>
          <w:color w:val="1C2730"/>
          <w:sz w:val="18"/>
        </w:rPr>
        <w:t>Existing implementation evidence includes direct writes to selected WINSpeed objects for SO/picking/ship/price. The target production safety model requires WINSpeed to own invoice/CN/GL and its posting/import process.</w:t>
      </w:r>
    </w:p>
    <w:p>
      <w:pPr>
        <w:pStyle w:val="Heading3"/>
        <w:keepNext/>
      </w:pPr>
      <w:r>
        <w:rPr>
          <w:rFonts w:ascii="Kanit" w:hAnsi="Kanit" w:eastAsia="Kanit" w:cs="Kanit"/>
          <w:b/>
          <w:color w:val="2B8C82"/>
          <w:sz w:val="23"/>
        </w:rPr>
        <w:t>Decision</w:t>
      </w:r>
    </w:p>
    <w:p>
      <w:pPr>
        <w:pStyle w:val="Heading4"/>
        <w:keepNext/>
      </w:pPr>
      <w:r>
        <w:rPr>
          <w:rFonts w:ascii="Kanit" w:hAnsi="Kanit" w:eastAsia="Kanit" w:cs="Kanit"/>
          <w:b/>
          <w:color w:val="1C2730"/>
          <w:sz w:val="21"/>
        </w:rPr>
        <w:t>Immutable financial boundary</w:t>
      </w:r>
    </w:p>
    <w:p>
      <w:pPr>
        <w:spacing w:after="60"/>
      </w:pPr>
      <w:r>
        <w:rPr>
          <w:rFonts w:ascii="Prompt" w:hAnsi="Prompt" w:eastAsia="Prompt" w:cs="Prompt"/>
          <w:i w:val="0"/>
          <w:color w:val="1C2730"/>
          <w:sz w:val="18"/>
        </w:rPr>
        <w:t>WS-Sale-App MUST NOT directly insert/update: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C2730"/>
          <w:sz w:val="18"/>
        </w:rPr>
        <w:t>SOInvHD, SOInvDT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C2730"/>
          <w:sz w:val="18"/>
        </w:rPr>
        <w:t>GLHD, GLDT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C2730"/>
          <w:sz w:val="18"/>
        </w:rPr>
        <w:t>other financial-posting objects not explicitly approved by WINSpeed DBA and Accounting</w:t>
      </w:r>
    </w:p>
    <w:p>
      <w:pPr>
        <w:pStyle w:val="Heading4"/>
        <w:keepNext/>
      </w:pPr>
      <w:r>
        <w:rPr>
          <w:rFonts w:ascii="Kanit" w:hAnsi="Kanit" w:eastAsia="Kanit" w:cs="Kanit"/>
          <w:b/>
          <w:color w:val="1C2730"/>
          <w:sz w:val="21"/>
        </w:rPr>
        <w:t>Approved write paths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7D5DC"/>
          <w:left w:val="single" w:sz="6" w:color="C7D5DC"/>
          <w:bottom w:val="single" w:sz="6" w:color="C7D5DC"/>
          <w:right w:val="single" w:sz="6" w:color="C7D5DC"/>
          <w:insideH w:val="single" w:sz="6" w:color="C7D5DC"/>
          <w:insideV w:val="single" w:sz="6" w:color="C7D5DC"/>
        </w:tblBorders>
      </w:tblPr>
      <w:tblGrid>
        <w:gridCol w:w="1610"/>
        <w:gridCol w:w="2688"/>
        <w:gridCol w:w="2767"/>
        <w:gridCol w:w="2569"/>
      </w:tblGrid>
      <w:tr>
        <w:trPr>
          <w:tblHeader w:val="true"/>
          <w:cantSplit/>
        </w:trPr>
        <w:tc>
          <w:tcPr>
            <w:tcW w:type="dxa" w:w="1610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Use case</w:t>
            </w:r>
          </w:p>
        </w:tc>
        <w:tc>
          <w:tcPr>
            <w:tcW w:type="dxa" w:w="2688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Preferred path</w:t>
            </w:r>
          </w:p>
        </w:tc>
        <w:tc>
          <w:tcPr>
            <w:tcW w:type="dxa" w:w="2767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Temporary fallback</w:t>
            </w:r>
          </w:p>
        </w:tc>
        <w:tc>
          <w:tcPr>
            <w:tcW w:type="dxa" w:w="2569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Required controls</w:t>
            </w:r>
          </w:p>
        </w:tc>
      </w:tr>
      <w:tr>
        <w:trPr>
          <w:cantSplit/>
        </w:trPr>
        <w:tc>
          <w:tcPr>
            <w:tcW w:type="dxa" w:w="1610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Create/Update SO 104</w:t>
            </w:r>
          </w:p>
        </w:tc>
        <w:tc>
          <w:tcPr>
            <w:tcW w:type="dxa" w:w="2688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WINSpeed import or approved stored procedure</w:t>
            </w:r>
          </w:p>
        </w:tc>
        <w:tc>
          <w:tcPr>
            <w:tcW w:type="dxa" w:w="2767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legacy direct write only with signed exception</w:t>
            </w:r>
          </w:p>
        </w:tc>
        <w:tc>
          <w:tcPr>
            <w:tcW w:type="dxa" w:w="2569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idempotency, transaction, audit, dual-run</w:t>
            </w:r>
          </w:p>
        </w:tc>
      </w:tr>
      <w:tr>
        <w:trPr>
          <w:cantSplit/>
        </w:trPr>
        <w:tc>
          <w:tcPr>
            <w:tcW w:type="dxa" w:w="161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Picking status</w:t>
            </w:r>
          </w:p>
        </w:tc>
        <w:tc>
          <w:tcPr>
            <w:tcW w:type="dxa" w:w="268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approved interface/SP</w:t>
            </w:r>
          </w:p>
        </w:tc>
        <w:tc>
          <w:tcPr>
            <w:tcW w:type="dxa" w:w="276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signed direct-update exception</w:t>
            </w:r>
          </w:p>
        </w:tc>
        <w:tc>
          <w:tcPr>
            <w:tcW w:type="dxa" w:w="2569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audit/state validation</w:t>
            </w:r>
          </w:p>
        </w:tc>
      </w:tr>
      <w:tr>
        <w:trPr>
          <w:cantSplit/>
        </w:trPr>
        <w:tc>
          <w:tcPr>
            <w:tcW w:type="dxa" w:w="1610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Ship/export state</w:t>
            </w:r>
          </w:p>
        </w:tc>
        <w:tc>
          <w:tcPr>
            <w:tcW w:type="dxa" w:w="2688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controlled interface/import</w:t>
            </w:r>
          </w:p>
        </w:tc>
        <w:tc>
          <w:tcPr>
            <w:tcW w:type="dxa" w:w="2767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signed direct-update exception</w:t>
            </w:r>
          </w:p>
        </w:tc>
        <w:tc>
          <w:tcPr>
            <w:tcW w:type="dxa" w:w="2569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weigh evidence/reconcile</w:t>
            </w:r>
          </w:p>
        </w:tc>
      </w:tr>
      <w:tr>
        <w:trPr>
          <w:cantSplit/>
        </w:trPr>
        <w:tc>
          <w:tcPr>
            <w:tcW w:type="dxa" w:w="161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Price Book</w:t>
            </w:r>
          </w:p>
        </w:tc>
        <w:tc>
          <w:tcPr>
            <w:tcW w:type="dxa" w:w="268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approved maintenance contract</w:t>
            </w:r>
          </w:p>
        </w:tc>
        <w:tc>
          <w:tcPr>
            <w:tcW w:type="dxa" w:w="276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direct EMSetPrice* under policy</w:t>
            </w:r>
          </w:p>
        </w:tc>
        <w:tc>
          <w:tcPr>
            <w:tcW w:type="dxa" w:w="2569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dual approval/effective date/audit</w:t>
            </w:r>
          </w:p>
        </w:tc>
      </w:tr>
      <w:tr>
        <w:trPr>
          <w:cantSplit/>
        </w:trPr>
        <w:tc>
          <w:tcPr>
            <w:tcW w:type="dxa" w:w="1610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Invoice/CN/GL</w:t>
            </w:r>
          </w:p>
        </w:tc>
        <w:tc>
          <w:tcPr>
            <w:tcW w:type="dxa" w:w="2688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WINSpeed UI/import/post</w:t>
            </w:r>
          </w:p>
        </w:tc>
        <w:tc>
          <w:tcPr>
            <w:tcW w:type="dxa" w:w="2767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none</w:t>
            </w:r>
          </w:p>
        </w:tc>
        <w:tc>
          <w:tcPr>
            <w:tcW w:type="dxa" w:w="2569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Accounting owns posting</w:t>
            </w:r>
          </w:p>
        </w:tc>
      </w:tr>
    </w:tbl>
    <w:p>
      <w:pPr>
        <w:pStyle w:val="Heading4"/>
        <w:keepNext/>
      </w:pPr>
      <w:r>
        <w:rPr>
          <w:rFonts w:ascii="Kanit" w:hAnsi="Kanit" w:eastAsia="Kanit" w:cs="Kanit"/>
          <w:b/>
          <w:color w:val="1C2730"/>
          <w:sz w:val="21"/>
        </w:rPr>
        <w:t>Legacy exception exit plan</w:t>
      </w:r>
    </w:p>
    <w:p>
      <w:pPr>
        <w:pStyle w:val="ListNumber"/>
        <w:numPr>
          <w:numId w:val="12"/>
        </w:numPr>
        <w:spacing w:after="40"/>
      </w:pPr>
      <w:r>
        <w:rPr>
          <w:rFonts w:ascii="Prompt" w:hAnsi="Prompt" w:eastAsia="Prompt" w:cs="Prompt"/>
          <w:color w:val="1C2730"/>
          <w:sz w:val="18"/>
        </w:rPr>
        <w:t>Inventory direct writes.</w:t>
      </w:r>
    </w:p>
    <w:p>
      <w:pPr>
        <w:pStyle w:val="ListNumber"/>
        <w:numPr>
          <w:numId w:val="12"/>
        </w:numPr>
        <w:spacing w:after="40"/>
      </w:pPr>
      <w:r>
        <w:rPr>
          <w:rFonts w:ascii="Prompt" w:hAnsi="Prompt" w:eastAsia="Prompt" w:cs="Prompt"/>
          <w:color w:val="1C2730"/>
          <w:sz w:val="18"/>
        </w:rPr>
        <w:t>Risk-classify by object/consumer.</w:t>
      </w:r>
    </w:p>
    <w:p>
      <w:pPr>
        <w:pStyle w:val="ListNumber"/>
        <w:numPr>
          <w:numId w:val="12"/>
        </w:numPr>
        <w:spacing w:after="40"/>
      </w:pPr>
      <w:r>
        <w:rPr>
          <w:rFonts w:ascii="Prompt" w:hAnsi="Prompt" w:eastAsia="Prompt" w:cs="Prompt"/>
          <w:color w:val="1C2730"/>
          <w:sz w:val="18"/>
        </w:rPr>
        <w:t>Create import/SP contract.</w:t>
      </w:r>
    </w:p>
    <w:p>
      <w:pPr>
        <w:pStyle w:val="ListNumber"/>
        <w:numPr>
          <w:numId w:val="12"/>
        </w:numPr>
        <w:spacing w:after="40"/>
      </w:pPr>
      <w:r>
        <w:rPr>
          <w:rFonts w:ascii="Prompt" w:hAnsi="Prompt" w:eastAsia="Prompt" w:cs="Prompt"/>
          <w:color w:val="1C2730"/>
          <w:sz w:val="18"/>
        </w:rPr>
        <w:t>Dual-run/reconcile 2–4 weeks.</w:t>
      </w:r>
    </w:p>
    <w:p>
      <w:pPr>
        <w:pStyle w:val="ListNumber"/>
        <w:numPr>
          <w:numId w:val="12"/>
        </w:numPr>
        <w:spacing w:after="40"/>
      </w:pPr>
      <w:r>
        <w:rPr>
          <w:rFonts w:ascii="Prompt" w:hAnsi="Prompt" w:eastAsia="Prompt" w:cs="Prompt"/>
          <w:color w:val="1C2730"/>
          <w:sz w:val="18"/>
        </w:rPr>
        <w:t>Disable direct write via feature flag.</w:t>
      </w:r>
    </w:p>
    <w:p>
      <w:pPr>
        <w:pStyle w:val="ListNumber"/>
        <w:numPr>
          <w:numId w:val="12"/>
        </w:numPr>
        <w:spacing w:after="40"/>
      </w:pPr>
      <w:r>
        <w:rPr>
          <w:rFonts w:ascii="Prompt" w:hAnsi="Prompt" w:eastAsia="Prompt" w:cs="Prompt"/>
          <w:color w:val="1C2730"/>
          <w:sz w:val="18"/>
        </w:rPr>
        <w:t>Retain evidence.</w:t>
      </w:r>
    </w:p>
    <w:p>
      <w:pPr>
        <w:pStyle w:val="Heading3"/>
        <w:keepNext/>
      </w:pPr>
      <w:r>
        <w:rPr>
          <w:rFonts w:ascii="Kanit" w:hAnsi="Kanit" w:eastAsia="Kanit" w:cs="Kanit"/>
          <w:b/>
          <w:color w:val="2B8C82"/>
          <w:sz w:val="23"/>
        </w:rPr>
        <w:t>Go-Live criterion</w:t>
      </w:r>
    </w:p>
    <w:p>
      <w:pPr>
        <w:spacing w:after="60"/>
      </w:pPr>
      <w:r>
        <w:rPr>
          <w:rFonts w:ascii="Prompt" w:hAnsi="Prompt" w:eastAsia="Prompt" w:cs="Prompt"/>
          <w:i w:val="0"/>
          <w:color w:val="1C2730"/>
          <w:sz w:val="18"/>
        </w:rPr>
        <w:t>No production release uses undocumented direct dbo write. A temporary exception lists object, columns, role, approver, expiry, rollback and reconciliation query.</w:t>
      </w:r>
    </w:p>
    <w:p>
      <w:r>
        <w:br w:type="page"/>
      </w:r>
    </w:p>
    <w:p>
      <w:pPr>
        <w:pStyle w:val="Heading1"/>
        <w:keepNext/>
      </w:pPr>
      <w:r>
        <w:rPr>
          <w:rFonts w:ascii="Kanit" w:hAnsi="Kanit" w:eastAsia="Kanit" w:cs="Kanit"/>
          <w:b/>
          <w:color w:val="15334A"/>
          <w:sz w:val="34"/>
        </w:rPr>
        <w:t>ADR-004 — TruckScale Controlled Pre-Weigh Integration and Matching Policy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4F8FA"/>
          <w:left w:val="single" w:sz="0" w:color="F4F8FA"/>
          <w:bottom w:val="single" w:sz="0" w:color="F4F8FA"/>
          <w:right w:val="single" w:sz="0" w:color="F4F8FA"/>
          <w:insideH w:val="single" w:sz="0" w:color="F4F8FA"/>
          <w:insideV w:val="single" w:sz="0" w:color="F4F8FA"/>
        </w:tblBorders>
      </w:tblPr>
      <w:tblGrid>
        <w:gridCol w:w="198"/>
        <w:gridCol w:w="9441"/>
      </w:tblGrid>
      <w:tr>
        <w:tc>
          <w:tcPr>
            <w:tcW w:type="dxa" w:w="198"/>
            <w:shd w:fill="2B8C82"/>
          </w:tcPr>
          <w:p>
            <w:r/>
          </w:p>
        </w:tc>
        <w:tc>
          <w:tcPr>
            <w:tcW w:type="dxa" w:w="9441"/>
            <w:shd w:fill="F4F8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Kanit" w:hAnsi="Kanit" w:eastAsia="Kanit" w:cs="Kanit"/>
                <w:b/>
                <w:color w:val="15334A"/>
                <w:sz w:val="19"/>
              </w:rPr>
              <w:t xml:space="preserve">Authoritative source  </w:t>
            </w:r>
            <w:r>
              <w:rPr>
                <w:rFonts w:ascii="Prompt" w:hAnsi="Prompt" w:eastAsia="Prompt" w:cs="Prompt"/>
                <w:b w:val="0"/>
                <w:color w:val="1C2730"/>
                <w:sz w:val="18"/>
              </w:rPr>
              <w:t>docs/enterprise/03-SOLUTION-ARCHITECTURE/ADR-004-TRUCKSCALE-INTEGRATION.md · SHA-256 DE63608F9127325F6F68F319B607FF71857BF63443FEE36BC932F630BBDBC0DF · merged as Review content</w:t>
            </w:r>
          </w:p>
        </w:tc>
      </w:tr>
    </w:tbl>
    <w:p>
      <w:pPr>
        <w:spacing w:after="0" w:line="96" w:lineRule="auto"/>
      </w:pPr>
    </w:p>
    <w:p>
      <w:pPr>
        <w:pStyle w:val="Heading3"/>
        <w:keepNext/>
      </w:pPr>
      <w:r>
        <w:rPr>
          <w:rFonts w:ascii="Kanit" w:hAnsi="Kanit" w:eastAsia="Kanit" w:cs="Kanit"/>
          <w:b/>
          <w:color w:val="2B8C82"/>
          <w:sz w:val="23"/>
        </w:rPr>
        <w:t>Context</w:t>
      </w:r>
    </w:p>
    <w:p>
      <w:pPr>
        <w:spacing w:after="60"/>
      </w:pPr>
      <w:r>
        <w:rPr>
          <w:rFonts w:ascii="Prompt" w:hAnsi="Prompt" w:eastAsia="Prompt" w:cs="Prompt"/>
          <w:i w:val="0"/>
          <w:color w:val="1C2730"/>
          <w:sz w:val="18"/>
        </w:rPr>
        <w:t>TruckScale records pre-weigh, completed weighing and product detail, but has Thai string/serial dates, mixed charsets, no enforced FK, inconsistent customer codes and imperfect truck-plate values.</w:t>
      </w:r>
    </w:p>
    <w:p>
      <w:pPr>
        <w:pStyle w:val="Heading3"/>
        <w:keepNext/>
      </w:pPr>
      <w:r>
        <w:rPr>
          <w:rFonts w:ascii="Kanit" w:hAnsi="Kanit" w:eastAsia="Kanit" w:cs="Kanit"/>
          <w:b/>
          <w:color w:val="2B8C82"/>
          <w:sz w:val="23"/>
        </w:rPr>
        <w:t>Decision</w:t>
      </w:r>
    </w:p>
    <w:p>
      <w:pPr>
        <w:pStyle w:val="ListNumber"/>
        <w:numPr>
          <w:numId w:val="13"/>
        </w:numPr>
        <w:spacing w:after="40"/>
      </w:pPr>
      <w:r>
        <w:rPr>
          <w:rFonts w:ascii="Prompt" w:hAnsi="Prompt" w:eastAsia="Prompt" w:cs="Prompt"/>
          <w:color w:val="1C2730"/>
          <w:sz w:val="18"/>
        </w:rPr>
        <w:t>TruckScale completed-weigh and reference records are read-only; WS-Sale-App may INSERT/DELETE only tbl_keyone for the pre-weigh queue lifecycle.</w:t>
      </w:r>
    </w:p>
    <w:p>
      <w:pPr>
        <w:pStyle w:val="ListNumber"/>
        <w:numPr>
          <w:numId w:val="13"/>
        </w:numPr>
        <w:spacing w:after="40"/>
      </w:pPr>
      <w:r>
        <w:rPr>
          <w:rFonts w:ascii="Prompt" w:hAnsi="Prompt" w:eastAsia="Prompt" w:cs="Prompt"/>
          <w:color w:val="1C2730"/>
          <w:sz w:val="18"/>
        </w:rPr>
        <w:t>Dedicated connection/service has timeout, health and charset handling.</w:t>
      </w:r>
    </w:p>
    <w:p>
      <w:pPr>
        <w:pStyle w:val="ListNumber"/>
        <w:numPr>
          <w:numId w:val="13"/>
        </w:numPr>
        <w:spacing w:after="40"/>
      </w:pPr>
      <w:r>
        <w:rPr>
          <w:rFonts w:ascii="Prompt" w:hAnsi="Prompt" w:eastAsia="Prompt" w:cs="Prompt"/>
          <w:color w:val="1C2730"/>
          <w:sz w:val="18"/>
        </w:rPr>
        <w:t>Candidate match uses normalized plate as primary; movebill, document/invoice and time window corroborate.</w:t>
      </w:r>
    </w:p>
    <w:p>
      <w:pPr>
        <w:pStyle w:val="ListNumber"/>
        <w:numPr>
          <w:numId w:val="13"/>
        </w:numPr>
        <w:spacing w:after="40"/>
      </w:pPr>
      <w:r>
        <w:rPr>
          <w:rFonts w:ascii="Prompt" w:hAnsi="Prompt" w:eastAsia="Prompt" w:cs="Prompt"/>
          <w:color w:val="1C2730"/>
          <w:sz w:val="18"/>
        </w:rPr>
        <w:t>Candidate evidence/confidence is visible; ambiguity requires user selection.</w:t>
      </w:r>
    </w:p>
    <w:p>
      <w:pPr>
        <w:pStyle w:val="ListNumber"/>
        <w:numPr>
          <w:numId w:val="13"/>
        </w:numPr>
        <w:spacing w:after="40"/>
      </w:pPr>
      <w:r>
        <w:rPr>
          <w:rFonts w:ascii="Prompt" w:hAnsi="Prompt" w:eastAsia="Prompt" w:cs="Prompt"/>
          <w:color w:val="1C2730"/>
          <w:sz w:val="18"/>
        </w:rPr>
        <w:t>Selection is copied as immutable reference metadata to wf.WeighTicket.</w:t>
      </w:r>
    </w:p>
    <w:p>
      <w:pPr>
        <w:pStyle w:val="ListNumber"/>
        <w:numPr>
          <w:numId w:val="13"/>
        </w:numPr>
        <w:spacing w:after="40"/>
      </w:pPr>
      <w:r>
        <w:rPr>
          <w:rFonts w:ascii="Prompt" w:hAnsi="Prompt" w:eastAsia="Prompt" w:cs="Prompt"/>
          <w:color w:val="1C2730"/>
          <w:sz w:val="18"/>
        </w:rPr>
        <w:t>Production environment register declares canonical source: local, cloud replica, or managed integration DB.</w:t>
      </w:r>
    </w:p>
    <w:p>
      <w:pPr>
        <w:pStyle w:val="Heading3"/>
        <w:keepNext/>
      </w:pPr>
      <w:r>
        <w:rPr>
          <w:rFonts w:ascii="Kanit" w:hAnsi="Kanit" w:eastAsia="Kanit" w:cs="Kanit"/>
          <w:b/>
          <w:color w:val="2B8C82"/>
          <w:sz w:val="23"/>
        </w:rPr>
        <w:t>Matching policy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7D5DC"/>
          <w:left w:val="single" w:sz="6" w:color="C7D5DC"/>
          <w:bottom w:val="single" w:sz="6" w:color="C7D5DC"/>
          <w:right w:val="single" w:sz="6" w:color="C7D5DC"/>
          <w:insideH w:val="single" w:sz="6" w:color="C7D5DC"/>
          <w:insideV w:val="single" w:sz="6" w:color="C7D5DC"/>
        </w:tblBorders>
      </w:tblPr>
      <w:tblGrid>
        <w:gridCol w:w="2268"/>
        <w:gridCol w:w="7371"/>
      </w:tblGrid>
      <w:tr>
        <w:trPr>
          <w:tblHeader w:val="true"/>
          <w:cantSplit/>
        </w:trPr>
        <w:tc>
          <w:tcPr>
            <w:tcW w:type="dxa" w:w="2268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Step</w:t>
            </w:r>
          </w:p>
        </w:tc>
        <w:tc>
          <w:tcPr>
            <w:tcW w:type="dxa" w:w="7371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Rule</w:t>
            </w:r>
          </w:p>
        </w:tc>
      </w:tr>
      <w:tr>
        <w:trPr>
          <w:cantSplit/>
        </w:trPr>
        <w:tc>
          <w:tcPr>
            <w:tcW w:type="dxa" w:w="2268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Normalize</w:t>
            </w:r>
          </w:p>
        </w:tc>
        <w:tc>
          <w:tcPr>
            <w:tcW w:type="dxa" w:w="737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trim spaces/punctuation; preserve raw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Filter</w:t>
            </w:r>
          </w:p>
        </w:tc>
        <w:tc>
          <w:tcPr>
            <w:tcW w:type="dxa" w:w="737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same normalized plate + date window</w:t>
            </w:r>
          </w:p>
        </w:tc>
      </w:tr>
      <w:tr>
        <w:trPr>
          <w:cantSplit/>
        </w:trPr>
        <w:tc>
          <w:tcPr>
            <w:tcW w:type="dxa" w:w="2268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Rank</w:t>
            </w:r>
          </w:p>
        </w:tc>
        <w:tc>
          <w:tcPr>
            <w:tcW w:type="dxa" w:w="737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completed record &gt; matching movebill &gt; matching source doc &gt; closest time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Validate</w:t>
            </w:r>
          </w:p>
        </w:tc>
        <w:tc>
          <w:tcPr>
            <w:tcW w:type="dxa" w:w="737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net&gt;0, gross≥tare, capacity sanity, no duplicate ref</w:t>
            </w:r>
          </w:p>
        </w:tc>
      </w:tr>
      <w:tr>
        <w:trPr>
          <w:cantSplit/>
        </w:trPr>
        <w:tc>
          <w:tcPr>
            <w:tcW w:type="dxa" w:w="2268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Resolve</w:t>
            </w:r>
          </w:p>
        </w:tc>
        <w:tc>
          <w:tcPr>
            <w:tcW w:type="dxa" w:w="737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ambiguous candidate selected by user + audit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Fallback</w:t>
            </w:r>
          </w:p>
        </w:tc>
        <w:tc>
          <w:tcPr>
            <w:tcW w:type="dxa" w:w="737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manual entry authorized + reason + later reconcile</w:t>
            </w:r>
          </w:p>
        </w:tc>
      </w:tr>
    </w:tbl>
    <w:p>
      <w:pPr>
        <w:pStyle w:val="Heading3"/>
        <w:keepNext/>
      </w:pPr>
      <w:r>
        <w:rPr>
          <w:rFonts w:ascii="Kanit" w:hAnsi="Kanit" w:eastAsia="Kanit" w:cs="Kanit"/>
          <w:b/>
          <w:color w:val="2B8C82"/>
          <w:sz w:val="23"/>
        </w:rPr>
        <w:t>Non-goal</w:t>
      </w:r>
    </w:p>
    <w:p>
      <w:pPr>
        <w:spacing w:after="60"/>
      </w:pPr>
      <w:r>
        <w:rPr>
          <w:rFonts w:ascii="Prompt" w:hAnsi="Prompt" w:eastAsia="Prompt" w:cs="Prompt"/>
          <w:i w:val="0"/>
          <w:color w:val="1C2730"/>
          <w:sz w:val="18"/>
        </w:rPr>
        <w:t>WS-Sale-App does not control COM ports/hardware or alter completed TruckScale source records; the controlled tbl_keyone queue lifecycle is the only write exception.</w:t>
      </w:r>
    </w:p>
    <w:p>
      <w:r>
        <w:br w:type="page"/>
      </w:r>
    </w:p>
    <w:p>
      <w:pPr>
        <w:pStyle w:val="Heading1"/>
        <w:keepNext/>
      </w:pPr>
      <w:r>
        <w:rPr>
          <w:rFonts w:ascii="Kanit" w:hAnsi="Kanit" w:eastAsia="Kanit" w:cs="Kanit"/>
          <w:b/>
          <w:color w:val="15334A"/>
          <w:sz w:val="34"/>
        </w:rPr>
        <w:t>ADR-005 — Rebate Ledger, FIFO and Compensation Model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4F8FA"/>
          <w:left w:val="single" w:sz="0" w:color="F4F8FA"/>
          <w:bottom w:val="single" w:sz="0" w:color="F4F8FA"/>
          <w:right w:val="single" w:sz="0" w:color="F4F8FA"/>
          <w:insideH w:val="single" w:sz="0" w:color="F4F8FA"/>
          <w:insideV w:val="single" w:sz="0" w:color="F4F8FA"/>
        </w:tblBorders>
      </w:tblPr>
      <w:tblGrid>
        <w:gridCol w:w="198"/>
        <w:gridCol w:w="9441"/>
      </w:tblGrid>
      <w:tr>
        <w:tc>
          <w:tcPr>
            <w:tcW w:type="dxa" w:w="198"/>
            <w:shd w:fill="2B8C82"/>
          </w:tcPr>
          <w:p>
            <w:r/>
          </w:p>
        </w:tc>
        <w:tc>
          <w:tcPr>
            <w:tcW w:type="dxa" w:w="9441"/>
            <w:shd w:fill="F4F8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Kanit" w:hAnsi="Kanit" w:eastAsia="Kanit" w:cs="Kanit"/>
                <w:b/>
                <w:color w:val="15334A"/>
                <w:sz w:val="19"/>
              </w:rPr>
              <w:t xml:space="preserve">Authoritative source  </w:t>
            </w:r>
            <w:r>
              <w:rPr>
                <w:rFonts w:ascii="Prompt" w:hAnsi="Prompt" w:eastAsia="Prompt" w:cs="Prompt"/>
                <w:b w:val="0"/>
                <w:color w:val="1C2730"/>
                <w:sz w:val="18"/>
              </w:rPr>
              <w:t>docs/enterprise/03-SOLUTION-ARCHITECTURE/ADR-005-REBATE-FIFO.md · SHA-256 1C0C516C879AC8E39AFFAFDFF49B775A28794E33C45DF270E7E474454328F5C4 · merged as Review content</w:t>
            </w:r>
          </w:p>
        </w:tc>
      </w:tr>
    </w:tbl>
    <w:p>
      <w:pPr>
        <w:spacing w:after="0" w:line="96" w:lineRule="auto"/>
      </w:pPr>
    </w:p>
    <w:p>
      <w:pPr>
        <w:pStyle w:val="Heading3"/>
        <w:keepNext/>
      </w:pPr>
      <w:r>
        <w:rPr>
          <w:rFonts w:ascii="Kanit" w:hAnsi="Kanit" w:eastAsia="Kanit" w:cs="Kanit"/>
          <w:b/>
          <w:color w:val="2B8C82"/>
          <w:sz w:val="23"/>
        </w:rPr>
        <w:t>Decision</w:t>
      </w:r>
    </w:p>
    <w:p>
      <w:pPr>
        <w:spacing w:after="60"/>
      </w:pPr>
      <w:r>
        <w:rPr>
          <w:rFonts w:ascii="Prompt" w:hAnsi="Prompt" w:eastAsia="Prompt" w:cs="Prompt"/>
          <w:i w:val="0"/>
          <w:color w:val="1C2730"/>
          <w:sz w:val="18"/>
        </w:rPr>
        <w:t>Rebate is represented as immutable ledger events, not one mutable aggregate balance.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C2730"/>
          <w:sz w:val="18"/>
        </w:rPr>
        <w:t>confirmed eligible SO line creates accrual using effective plan/NET snapshot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C2730"/>
          <w:sz w:val="18"/>
        </w:rPr>
        <w:t>pool is controlled aggregation, not sole source of truth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C2730"/>
          <w:sz w:val="18"/>
        </w:rPr>
        <w:t>claim consumes eligible accrual FIFO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C2730"/>
          <w:sz w:val="18"/>
        </w:rPr>
        <w:t>unlock/reversal creates compensating event/flag, never deletion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C2730"/>
          <w:sz w:val="18"/>
        </w:rPr>
        <w:t>claim approval links actual WINSpeed CN evidence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C2730"/>
          <w:sz w:val="18"/>
        </w:rPr>
        <w:t>price-difference return and sales rebate are distinct types</w:t>
      </w:r>
    </w:p>
    <w:p>
      <w:pPr>
        <w:pStyle w:val="Heading3"/>
        <w:keepNext/>
      </w:pPr>
      <w:r>
        <w:rPr>
          <w:rFonts w:ascii="Kanit" w:hAnsi="Kanit" w:eastAsia="Kanit" w:cs="Kanit"/>
          <w:b/>
          <w:color w:val="2B8C82"/>
          <w:sz w:val="23"/>
        </w:rPr>
        <w:t>Benefits</w:t>
      </w:r>
    </w:p>
    <w:p>
      <w:pPr>
        <w:spacing w:after="60"/>
      </w:pPr>
      <w:r>
        <w:rPr>
          <w:rFonts w:ascii="Prompt" w:hAnsi="Prompt" w:eastAsia="Prompt" w:cs="Prompt"/>
          <w:i w:val="0"/>
          <w:color w:val="1C2730"/>
          <w:sz w:val="18"/>
        </w:rPr>
        <w:t>Every claimed amount can trace to SO line, plan, price and date. This supports audit and prevents unexplained remaining-pool behavior.</w:t>
      </w:r>
    </w:p>
    <w:p>
      <w:r>
        <w:br w:type="page"/>
      </w:r>
    </w:p>
    <w:p>
      <w:pPr>
        <w:pStyle w:val="Heading1"/>
        <w:keepNext/>
      </w:pPr>
      <w:r>
        <w:rPr>
          <w:rFonts w:ascii="Kanit" w:hAnsi="Kanit" w:eastAsia="Kanit" w:cs="Kanit"/>
          <w:b/>
          <w:color w:val="15334A"/>
          <w:sz w:val="34"/>
        </w:rPr>
        <w:t>Data Design, Ownership and Canonical Model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4F8FA"/>
          <w:left w:val="single" w:sz="0" w:color="F4F8FA"/>
          <w:bottom w:val="single" w:sz="0" w:color="F4F8FA"/>
          <w:right w:val="single" w:sz="0" w:color="F4F8FA"/>
          <w:insideH w:val="single" w:sz="0" w:color="F4F8FA"/>
          <w:insideV w:val="single" w:sz="0" w:color="F4F8FA"/>
        </w:tblBorders>
      </w:tblPr>
      <w:tblGrid>
        <w:gridCol w:w="198"/>
        <w:gridCol w:w="9441"/>
      </w:tblGrid>
      <w:tr>
        <w:tc>
          <w:tcPr>
            <w:tcW w:type="dxa" w:w="198"/>
            <w:shd w:fill="2B8C82"/>
          </w:tcPr>
          <w:p>
            <w:r/>
          </w:p>
        </w:tc>
        <w:tc>
          <w:tcPr>
            <w:tcW w:type="dxa" w:w="9441"/>
            <w:shd w:fill="F4F8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Kanit" w:hAnsi="Kanit" w:eastAsia="Kanit" w:cs="Kanit"/>
                <w:b/>
                <w:color w:val="15334A"/>
                <w:sz w:val="19"/>
              </w:rPr>
              <w:t xml:space="preserve">Authoritative source  </w:t>
            </w:r>
            <w:r>
              <w:rPr>
                <w:rFonts w:ascii="Prompt" w:hAnsi="Prompt" w:eastAsia="Prompt" w:cs="Prompt"/>
                <w:b w:val="0"/>
                <w:color w:val="1C2730"/>
                <w:sz w:val="18"/>
              </w:rPr>
              <w:t>docs/enterprise/04-DATA-INTEGRATION/DATA-DESIGN.md · SHA-256 02C1218BA62552576952B01A7ECDC7BA24741919B6174907C6620059213AF243 · merged as Review content</w:t>
            </w:r>
          </w:p>
        </w:tc>
      </w:tr>
    </w:tbl>
    <w:p>
      <w:pPr>
        <w:spacing w:after="0" w:line="96" w:lineRule="auto"/>
      </w:pPr>
    </w:p>
    <w:p>
      <w:pPr>
        <w:pStyle w:val="Heading3"/>
        <w:keepNext/>
      </w:pPr>
      <w:r>
        <w:rPr>
          <w:rFonts w:ascii="Kanit" w:hAnsi="Kanit" w:eastAsia="Kanit" w:cs="Kanit"/>
          <w:b/>
          <w:color w:val="2B8C82"/>
          <w:sz w:val="23"/>
        </w:rPr>
        <w:t>Data ownership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7D5DC"/>
          <w:left w:val="single" w:sz="6" w:color="C7D5DC"/>
          <w:bottom w:val="single" w:sz="6" w:color="C7D5DC"/>
          <w:right w:val="single" w:sz="6" w:color="C7D5DC"/>
          <w:insideH w:val="single" w:sz="6" w:color="C7D5DC"/>
          <w:insideV w:val="single" w:sz="6" w:color="C7D5DC"/>
        </w:tblBorders>
      </w:tblPr>
      <w:tblGrid>
        <w:gridCol w:w="2155"/>
        <w:gridCol w:w="1945"/>
        <w:gridCol w:w="3646"/>
        <w:gridCol w:w="1894"/>
      </w:tblGrid>
      <w:tr>
        <w:trPr>
          <w:tblHeader w:val="true"/>
          <w:cantSplit/>
        </w:trPr>
        <w:tc>
          <w:tcPr>
            <w:tcW w:type="dxa" w:w="2155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1945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Primary owner</w:t>
            </w:r>
          </w:p>
        </w:tc>
        <w:tc>
          <w:tcPr>
            <w:tcW w:type="dxa" w:w="3646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Write mode</w:t>
            </w:r>
          </w:p>
        </w:tc>
        <w:tc>
          <w:tcPr>
            <w:tcW w:type="dxa" w:w="1894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Retention/audit</w:t>
            </w:r>
          </w:p>
        </w:tc>
      </w:tr>
      <w:tr>
        <w:trPr>
          <w:cantSplit/>
        </w:trPr>
        <w:tc>
          <w:tcPr>
            <w:tcW w:type="dxa" w:w="2155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Customer/good/account master</w:t>
            </w:r>
          </w:p>
        </w:tc>
        <w:tc>
          <w:tcPr>
            <w:tcW w:type="dxa" w:w="1945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WINSpeed</w:t>
            </w:r>
          </w:p>
        </w:tc>
        <w:tc>
          <w:tcPr>
            <w:tcW w:type="dxa" w:w="3646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controlled external</w:t>
            </w:r>
          </w:p>
        </w:tc>
        <w:tc>
          <w:tcPr>
            <w:tcW w:type="dxa" w:w="189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WINSpeed policy</w:t>
            </w:r>
          </w:p>
        </w:tc>
      </w:tr>
      <w:tr>
        <w:trPr>
          <w:cantSplit/>
        </w:trPr>
        <w:tc>
          <w:tcPr>
            <w:tcW w:type="dxa" w:w="215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SO operational workflow</w:t>
            </w:r>
          </w:p>
        </w:tc>
        <w:tc>
          <w:tcPr>
            <w:tcW w:type="dxa" w:w="194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wf</w:t>
            </w:r>
          </w:p>
        </w:tc>
        <w:tc>
          <w:tcPr>
            <w:tcW w:type="dxa" w:w="364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app owned</w:t>
            </w:r>
          </w:p>
        </w:tc>
        <w:tc>
          <w:tcPr>
            <w:tcW w:type="dxa" w:w="189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target 7 years</w:t>
            </w:r>
          </w:p>
        </w:tc>
      </w:tr>
      <w:tr>
        <w:trPr>
          <w:cantSplit/>
        </w:trPr>
        <w:tc>
          <w:tcPr>
            <w:tcW w:type="dxa" w:w="2155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Rebate/claim</w:t>
            </w:r>
          </w:p>
        </w:tc>
        <w:tc>
          <w:tcPr>
            <w:tcW w:type="dxa" w:w="1945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wf + CN reference</w:t>
            </w:r>
          </w:p>
        </w:tc>
        <w:tc>
          <w:tcPr>
            <w:tcW w:type="dxa" w:w="3646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app owned / external evidence</w:t>
            </w:r>
          </w:p>
        </w:tc>
        <w:tc>
          <w:tcPr>
            <w:tcW w:type="dxa" w:w="189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target 7 years</w:t>
            </w:r>
          </w:p>
        </w:tc>
      </w:tr>
      <w:tr>
        <w:trPr>
          <w:cantSplit/>
        </w:trPr>
        <w:tc>
          <w:tcPr>
            <w:tcW w:type="dxa" w:w="215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Price Book</w:t>
            </w:r>
          </w:p>
        </w:tc>
        <w:tc>
          <w:tcPr>
            <w:tcW w:type="dxa" w:w="194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WINSpeed/source contract</w:t>
            </w:r>
          </w:p>
        </w:tc>
        <w:tc>
          <w:tcPr>
            <w:tcW w:type="dxa" w:w="364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controlled</w:t>
            </w:r>
          </w:p>
        </w:tc>
        <w:tc>
          <w:tcPr>
            <w:tcW w:type="dxa" w:w="189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versioned</w:t>
            </w:r>
          </w:p>
        </w:tc>
      </w:tr>
      <w:tr>
        <w:trPr>
          <w:cantSplit/>
        </w:trPr>
        <w:tc>
          <w:tcPr>
            <w:tcW w:type="dxa" w:w="2155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Weigh source</w:t>
            </w:r>
          </w:p>
        </w:tc>
        <w:tc>
          <w:tcPr>
            <w:tcW w:type="dxa" w:w="1945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TruckScale</w:t>
            </w:r>
          </w:p>
        </w:tc>
        <w:tc>
          <w:tcPr>
            <w:tcW w:type="dxa" w:w="3646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tblscale/reference read-only; tbl_keyone controlled queue write</w:t>
            </w:r>
          </w:p>
        </w:tc>
        <w:tc>
          <w:tcPr>
            <w:tcW w:type="dxa" w:w="189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source policy + wf ref</w:t>
            </w:r>
          </w:p>
        </w:tc>
      </w:tr>
      <w:tr>
        <w:trPr>
          <w:cantSplit/>
        </w:trPr>
        <w:tc>
          <w:tcPr>
            <w:tcW w:type="dxa" w:w="215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Paper copies/scans</w:t>
            </w:r>
          </w:p>
        </w:tc>
        <w:tc>
          <w:tcPr>
            <w:tcW w:type="dxa" w:w="194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wf</w:t>
            </w:r>
          </w:p>
        </w:tc>
        <w:tc>
          <w:tcPr>
            <w:tcW w:type="dxa" w:w="364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app owned</w:t>
            </w:r>
          </w:p>
        </w:tc>
        <w:tc>
          <w:tcPr>
            <w:tcW w:type="dxa" w:w="189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target 7 years</w:t>
            </w:r>
          </w:p>
        </w:tc>
      </w:tr>
      <w:tr>
        <w:trPr>
          <w:cantSplit/>
        </w:trPr>
        <w:tc>
          <w:tcPr>
            <w:tcW w:type="dxa" w:w="2155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User/role mapping</w:t>
            </w:r>
          </w:p>
        </w:tc>
        <w:tc>
          <w:tcPr>
            <w:tcW w:type="dxa" w:w="1945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wf</w:t>
            </w:r>
          </w:p>
        </w:tc>
        <w:tc>
          <w:tcPr>
            <w:tcW w:type="dxa" w:w="3646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admin controlled</w:t>
            </w:r>
          </w:p>
        </w:tc>
        <w:tc>
          <w:tcPr>
            <w:tcW w:type="dxa" w:w="189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access policy</w:t>
            </w:r>
          </w:p>
        </w:tc>
      </w:tr>
      <w:tr>
        <w:trPr>
          <w:cantSplit/>
        </w:trPr>
        <w:tc>
          <w:tcPr>
            <w:tcW w:type="dxa" w:w="215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Outbox/reconcile</w:t>
            </w:r>
          </w:p>
        </w:tc>
        <w:tc>
          <w:tcPr>
            <w:tcW w:type="dxa" w:w="194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wf</w:t>
            </w:r>
          </w:p>
        </w:tc>
        <w:tc>
          <w:tcPr>
            <w:tcW w:type="dxa" w:w="364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app owned</w:t>
            </w:r>
          </w:p>
        </w:tc>
        <w:tc>
          <w:tcPr>
            <w:tcW w:type="dxa" w:w="189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until resolved + policy</w:t>
            </w:r>
          </w:p>
        </w:tc>
      </w:tr>
    </w:tbl>
    <w:p>
      <w:pPr>
        <w:pStyle w:val="Heading3"/>
        <w:keepNext/>
      </w:pPr>
      <w:r>
        <w:rPr>
          <w:rFonts w:ascii="Kanit" w:hAnsi="Kanit" w:eastAsia="Kanit" w:cs="Kanit"/>
          <w:b/>
          <w:color w:val="2B8C82"/>
          <w:sz w:val="23"/>
        </w:rPr>
        <w:t>Logical entities</w:t>
      </w:r>
    </w:p>
    <w:p>
      <w:pPr>
        <w:pStyle w:val="Heading4"/>
        <w:keepNext/>
      </w:pPr>
      <w:r>
        <w:rPr>
          <w:rFonts w:ascii="Kanit" w:hAnsi="Kanit" w:eastAsia="Kanit" w:cs="Kanit"/>
          <w:b/>
          <w:color w:val="1C2730"/>
          <w:sz w:val="21"/>
        </w:rPr>
        <w:t>Sales execution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7D5DC"/>
          <w:left w:val="single" w:sz="6" w:color="C7D5DC"/>
          <w:bottom w:val="single" w:sz="6" w:color="C7D5DC"/>
          <w:right w:val="single" w:sz="6" w:color="C7D5DC"/>
          <w:insideH w:val="single" w:sz="6" w:color="C7D5DC"/>
          <w:insideV w:val="single" w:sz="6" w:color="C7D5DC"/>
        </w:tblBorders>
      </w:tblPr>
      <w:tblGrid>
        <w:gridCol w:w="1922"/>
        <w:gridCol w:w="5035"/>
        <w:gridCol w:w="2682"/>
      </w:tblGrid>
      <w:tr>
        <w:trPr>
          <w:tblHeader w:val="true"/>
          <w:cantSplit/>
        </w:trPr>
        <w:tc>
          <w:tcPr>
            <w:tcW w:type="dxa" w:w="1922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5035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Key fields</w:t>
            </w:r>
          </w:p>
        </w:tc>
        <w:tc>
          <w:tcPr>
            <w:tcW w:type="dxa" w:w="2682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Notes</w:t>
            </w:r>
          </w:p>
        </w:tc>
      </w:tr>
      <w:tr>
        <w:trPr>
          <w:cantSplit/>
        </w:trPr>
        <w:tc>
          <w:tcPr>
            <w:tcW w:type="dxa" w:w="1922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SalesOrder</w:t>
            </w:r>
          </w:p>
        </w:tc>
        <w:tc>
          <w:tcPr>
            <w:tcW w:type="dxa" w:w="5035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SoId, SoNo, CustomerId, Status, TruckPlate, VerifiedBy, VerifiedAt</w:t>
            </w:r>
          </w:p>
        </w:tc>
        <w:tc>
          <w:tcPr>
            <w:tcW w:type="dxa" w:w="2682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header</w:t>
            </w:r>
          </w:p>
        </w:tc>
      </w:tr>
      <w:tr>
        <w:trPr>
          <w:cantSplit/>
        </w:trPr>
        <w:tc>
          <w:tcPr>
            <w:tcW w:type="dxa" w:w="192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SalesOrderLine</w:t>
            </w:r>
          </w:p>
        </w:tc>
        <w:tc>
          <w:tcPr>
            <w:tcW w:type="dxa" w:w="503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SoId, LineNo, GoodId, QtyTon, UnitPrice, LoadSequence</w:t>
            </w:r>
          </w:p>
        </w:tc>
        <w:tc>
          <w:tcPr>
            <w:tcW w:type="dxa" w:w="268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commercial/warehouse line</w:t>
            </w:r>
          </w:p>
        </w:tc>
      </w:tr>
      <w:tr>
        <w:trPr>
          <w:cantSplit/>
        </w:trPr>
        <w:tc>
          <w:tcPr>
            <w:tcW w:type="dxa" w:w="1922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SalesOrderAudit</w:t>
            </w:r>
          </w:p>
        </w:tc>
        <w:tc>
          <w:tcPr>
            <w:tcW w:type="dxa" w:w="5035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actor, action, before/after JSON, IP, time, correlation</w:t>
            </w:r>
          </w:p>
        </w:tc>
        <w:tc>
          <w:tcPr>
            <w:tcW w:type="dxa" w:w="2682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append-only</w:t>
            </w:r>
          </w:p>
        </w:tc>
      </w:tr>
      <w:tr>
        <w:trPr>
          <w:cantSplit/>
        </w:trPr>
        <w:tc>
          <w:tcPr>
            <w:tcW w:type="dxa" w:w="192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UnlockRequest</w:t>
            </w:r>
          </w:p>
        </w:tc>
        <w:tc>
          <w:tcPr>
            <w:tcW w:type="dxa" w:w="503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SoId, reason, status, requester, approver</w:t>
            </w:r>
          </w:p>
        </w:tc>
        <w:tc>
          <w:tcPr>
            <w:tcW w:type="dxa" w:w="268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correction</w:t>
            </w:r>
          </w:p>
        </w:tc>
      </w:tr>
      <w:tr>
        <w:trPr>
          <w:cantSplit/>
        </w:trPr>
        <w:tc>
          <w:tcPr>
            <w:tcW w:type="dxa" w:w="1922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WeighTicket</w:t>
            </w:r>
          </w:p>
        </w:tc>
        <w:tc>
          <w:tcPr>
            <w:tcW w:type="dxa" w:w="5035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SoId, source ref, tare/gross/net, scale, time, method</w:t>
            </w:r>
          </w:p>
        </w:tc>
        <w:tc>
          <w:tcPr>
            <w:tcW w:type="dxa" w:w="2682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ship evidence</w:t>
            </w:r>
          </w:p>
        </w:tc>
      </w:tr>
    </w:tbl>
    <w:p>
      <w:pPr>
        <w:pStyle w:val="Heading4"/>
        <w:keepNext/>
      </w:pPr>
      <w:r>
        <w:rPr>
          <w:rFonts w:ascii="Kanit" w:hAnsi="Kanit" w:eastAsia="Kanit" w:cs="Kanit"/>
          <w:b/>
          <w:color w:val="1C2730"/>
          <w:sz w:val="21"/>
        </w:rPr>
        <w:t>Rebate and giveaway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7D5DC"/>
          <w:left w:val="single" w:sz="6" w:color="C7D5DC"/>
          <w:bottom w:val="single" w:sz="6" w:color="C7D5DC"/>
          <w:right w:val="single" w:sz="6" w:color="C7D5DC"/>
          <w:insideH w:val="single" w:sz="6" w:color="C7D5DC"/>
          <w:insideV w:val="single" w:sz="6" w:color="C7D5DC"/>
        </w:tblBorders>
      </w:tblPr>
      <w:tblGrid>
        <w:gridCol w:w="2483"/>
        <w:gridCol w:w="4950"/>
        <w:gridCol w:w="2206"/>
      </w:tblGrid>
      <w:tr>
        <w:trPr>
          <w:tblHeader w:val="true"/>
          <w:cantSplit/>
        </w:trPr>
        <w:tc>
          <w:tcPr>
            <w:tcW w:type="dxa" w:w="2483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4950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Key fields</w:t>
            </w:r>
          </w:p>
        </w:tc>
        <w:tc>
          <w:tcPr>
            <w:tcW w:type="dxa" w:w="2206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Notes</w:t>
            </w:r>
          </w:p>
        </w:tc>
      </w:tr>
      <w:tr>
        <w:trPr>
          <w:cantSplit/>
        </w:trPr>
        <w:tc>
          <w:tcPr>
            <w:tcW w:type="dxa" w:w="248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PriceBook</w:t>
            </w:r>
          </w:p>
        </w:tc>
        <w:tc>
          <w:tcPr>
            <w:tcW w:type="dxa" w:w="4950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formula/good, month, NET, version, state</w:t>
            </w:r>
          </w:p>
        </w:tc>
        <w:tc>
          <w:tcPr>
            <w:tcW w:type="dxa" w:w="2206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effective price</w:t>
            </w:r>
          </w:p>
        </w:tc>
      </w:tr>
      <w:tr>
        <w:trPr>
          <w:cantSplit/>
        </w:trPr>
        <w:tc>
          <w:tcPr>
            <w:tcW w:type="dxa" w:w="248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RebatePlan</w:t>
            </w:r>
          </w:p>
        </w:tc>
        <w:tc>
          <w:tcPr>
            <w:tcW w:type="dxa" w:w="495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dates, formula, region, return type, priority</w:t>
            </w:r>
          </w:p>
        </w:tc>
        <w:tc>
          <w:tcPr>
            <w:tcW w:type="dxa" w:w="220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policy</w:t>
            </w:r>
          </w:p>
        </w:tc>
      </w:tr>
      <w:tr>
        <w:trPr>
          <w:cantSplit/>
        </w:trPr>
        <w:tc>
          <w:tcPr>
            <w:tcW w:type="dxa" w:w="248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RebatePool</w:t>
            </w:r>
          </w:p>
        </w:tc>
        <w:tc>
          <w:tcPr>
            <w:tcW w:type="dxa" w:w="4950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sales, plan, allocated/used/frozen</w:t>
            </w:r>
          </w:p>
        </w:tc>
        <w:tc>
          <w:tcPr>
            <w:tcW w:type="dxa" w:w="2206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aggregation</w:t>
            </w:r>
          </w:p>
        </w:tc>
      </w:tr>
      <w:tr>
        <w:trPr>
          <w:cantSplit/>
        </w:trPr>
        <w:tc>
          <w:tcPr>
            <w:tcW w:type="dxa" w:w="248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RebateLedger</w:t>
            </w:r>
          </w:p>
        </w:tc>
        <w:tc>
          <w:tcPr>
            <w:tcW w:type="dxa" w:w="495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source line, pool, type, amount, FIFO, reversed flag</w:t>
            </w:r>
          </w:p>
        </w:tc>
        <w:tc>
          <w:tcPr>
            <w:tcW w:type="dxa" w:w="220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subledger</w:t>
            </w:r>
          </w:p>
        </w:tc>
      </w:tr>
      <w:tr>
        <w:trPr>
          <w:cantSplit/>
        </w:trPr>
        <w:tc>
          <w:tcPr>
            <w:tcW w:type="dxa" w:w="248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RebateClaim</w:t>
            </w:r>
          </w:p>
        </w:tc>
        <w:tc>
          <w:tcPr>
            <w:tcW w:type="dxa" w:w="4950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customer, sales, totals, state, CN number</w:t>
            </w:r>
          </w:p>
        </w:tc>
        <w:tc>
          <w:tcPr>
            <w:tcW w:type="dxa" w:w="2206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request</w:t>
            </w:r>
          </w:p>
        </w:tc>
      </w:tr>
      <w:tr>
        <w:trPr>
          <w:cantSplit/>
        </w:trPr>
        <w:tc>
          <w:tcPr>
            <w:tcW w:type="dxa" w:w="248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RebateClaimLine</w:t>
            </w:r>
          </w:p>
        </w:tc>
        <w:tc>
          <w:tcPr>
            <w:tcW w:type="dxa" w:w="495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claim/ledger, amount, return type</w:t>
            </w:r>
          </w:p>
        </w:tc>
        <w:tc>
          <w:tcPr>
            <w:tcW w:type="dxa" w:w="220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trace</w:t>
            </w:r>
          </w:p>
        </w:tc>
      </w:tr>
      <w:tr>
        <w:trPr>
          <w:cantSplit/>
        </w:trPr>
        <w:tc>
          <w:tcPr>
            <w:tcW w:type="dxa" w:w="248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GiveawayBudget</w:t>
            </w:r>
          </w:p>
        </w:tc>
        <w:tc>
          <w:tcPr>
            <w:tcW w:type="dxa" w:w="4950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region/sales/item/brand/period</w:t>
            </w:r>
          </w:p>
        </w:tc>
        <w:tc>
          <w:tcPr>
            <w:tcW w:type="dxa" w:w="2206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budget</w:t>
            </w:r>
          </w:p>
        </w:tc>
      </w:tr>
      <w:tr>
        <w:trPr>
          <w:cantSplit/>
        </w:trPr>
        <w:tc>
          <w:tcPr>
            <w:tcW w:type="dxa" w:w="248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GiveawayWithdrawal</w:t>
            </w:r>
          </w:p>
        </w:tc>
        <w:tc>
          <w:tcPr>
            <w:tcW w:type="dxa" w:w="495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SO/budget/item/qty/reason</w:t>
            </w:r>
          </w:p>
        </w:tc>
        <w:tc>
          <w:tcPr>
            <w:tcW w:type="dxa" w:w="220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issue</w:t>
            </w:r>
          </w:p>
        </w:tc>
      </w:tr>
    </w:tbl>
    <w:p>
      <w:pPr>
        <w:pStyle w:val="Heading4"/>
        <w:keepNext/>
      </w:pPr>
      <w:r>
        <w:rPr>
          <w:rFonts w:ascii="Kanit" w:hAnsi="Kanit" w:eastAsia="Kanit" w:cs="Kanit"/>
          <w:b/>
          <w:color w:val="1C2730"/>
          <w:sz w:val="21"/>
        </w:rPr>
        <w:t>Controls and platform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7D5DC"/>
          <w:left w:val="single" w:sz="6" w:color="C7D5DC"/>
          <w:bottom w:val="single" w:sz="6" w:color="C7D5DC"/>
          <w:right w:val="single" w:sz="6" w:color="C7D5DC"/>
          <w:insideH w:val="single" w:sz="6" w:color="C7D5DC"/>
          <w:insideV w:val="single" w:sz="6" w:color="C7D5DC"/>
        </w:tblBorders>
      </w:tblPr>
      <w:tblGrid>
        <w:gridCol w:w="2625"/>
        <w:gridCol w:w="4893"/>
        <w:gridCol w:w="2121"/>
      </w:tblGrid>
      <w:tr>
        <w:trPr>
          <w:tblHeader w:val="true"/>
          <w:cantSplit/>
        </w:trPr>
        <w:tc>
          <w:tcPr>
            <w:tcW w:type="dxa" w:w="2625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4893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Key fields</w:t>
            </w:r>
          </w:p>
        </w:tc>
        <w:tc>
          <w:tcPr>
            <w:tcW w:type="dxa" w:w="2121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Notes</w:t>
            </w:r>
          </w:p>
        </w:tc>
      </w:tr>
      <w:tr>
        <w:trPr>
          <w:cantSplit/>
        </w:trPr>
        <w:tc>
          <w:tcPr>
            <w:tcW w:type="dxa" w:w="2625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PaperCopy</w:t>
            </w:r>
          </w:p>
        </w:tc>
        <w:tc>
          <w:tcPr>
            <w:tcW w:type="dxa" w:w="489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SO, color, QR nonce, status, holder</w:t>
            </w:r>
          </w:p>
        </w:tc>
        <w:tc>
          <w:tcPr>
            <w:tcW w:type="dxa" w:w="212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custody</w:t>
            </w:r>
          </w:p>
        </w:tc>
      </w:tr>
      <w:tr>
        <w:trPr>
          <w:cantSplit/>
        </w:trPr>
        <w:tc>
          <w:tcPr>
            <w:tcW w:type="dxa" w:w="262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PaperScan</w:t>
            </w:r>
          </w:p>
        </w:tc>
        <w:tc>
          <w:tcPr>
            <w:tcW w:type="dxa" w:w="489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copy, status, actor, timestamp</w:t>
            </w:r>
          </w:p>
        </w:tc>
        <w:tc>
          <w:tcPr>
            <w:tcW w:type="dxa" w:w="212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append-only</w:t>
            </w:r>
          </w:p>
        </w:tc>
      </w:tr>
      <w:tr>
        <w:trPr>
          <w:cantSplit/>
        </w:trPr>
        <w:tc>
          <w:tcPr>
            <w:tcW w:type="dxa" w:w="2625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AppUser</w:t>
            </w:r>
          </w:p>
        </w:tc>
        <w:tc>
          <w:tcPr>
            <w:tcW w:type="dxa" w:w="489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identity, role, EmpID, active</w:t>
            </w:r>
          </w:p>
        </w:tc>
        <w:tc>
          <w:tcPr>
            <w:tcW w:type="dxa" w:w="212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named account</w:t>
            </w:r>
          </w:p>
        </w:tc>
      </w:tr>
      <w:tr>
        <w:trPr>
          <w:cantSplit/>
        </w:trPr>
        <w:tc>
          <w:tcPr>
            <w:tcW w:type="dxa" w:w="262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ApprovalPolicy</w:t>
            </w:r>
          </w:p>
        </w:tc>
        <w:tc>
          <w:tcPr>
            <w:tcW w:type="dxa" w:w="489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scenario, threshold, authority, effective dates</w:t>
            </w:r>
          </w:p>
        </w:tc>
        <w:tc>
          <w:tcPr>
            <w:tcW w:type="dxa" w:w="212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v7 target</w:t>
            </w:r>
          </w:p>
        </w:tc>
      </w:tr>
      <w:tr>
        <w:trPr>
          <w:cantSplit/>
        </w:trPr>
        <w:tc>
          <w:tcPr>
            <w:tcW w:type="dxa" w:w="2625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IntegrationOutbox</w:t>
            </w:r>
          </w:p>
        </w:tc>
        <w:tc>
          <w:tcPr>
            <w:tcW w:type="dxa" w:w="4893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type, idempotency key, payload hash, state</w:t>
            </w:r>
          </w:p>
        </w:tc>
        <w:tc>
          <w:tcPr>
            <w:tcW w:type="dxa" w:w="212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v7 target</w:t>
            </w:r>
          </w:p>
        </w:tc>
      </w:tr>
      <w:tr>
        <w:trPr>
          <w:cantSplit/>
        </w:trPr>
        <w:tc>
          <w:tcPr>
            <w:tcW w:type="dxa" w:w="262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ReconciliationCase</w:t>
            </w:r>
          </w:p>
        </w:tc>
        <w:tc>
          <w:tcPr>
            <w:tcW w:type="dxa" w:w="489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entity/ref, expected/actual, state, owner</w:t>
            </w:r>
          </w:p>
        </w:tc>
        <w:tc>
          <w:tcPr>
            <w:tcW w:type="dxa" w:w="212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v7 target</w:t>
            </w:r>
          </w:p>
        </w:tc>
      </w:tr>
    </w:tbl>
    <w:p>
      <w:pPr>
        <w:pStyle w:val="Heading3"/>
        <w:keepNext/>
      </w:pPr>
      <w:r>
        <w:rPr>
          <w:rFonts w:ascii="Kanit" w:hAnsi="Kanit" w:eastAsia="Kanit" w:cs="Kanit"/>
          <w:b/>
          <w:color w:val="2B8C82"/>
          <w:sz w:val="23"/>
        </w:rPr>
        <w:t>Data constraints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C2730"/>
          <w:sz w:val="18"/>
        </w:rPr>
        <w:t>money uses decimal and explicit rounding; no floating point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C2730"/>
          <w:sz w:val="18"/>
        </w:rPr>
        <w:t>quantity stores canonical ton/kg plus UOM conversion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C2730"/>
          <w:sz w:val="18"/>
        </w:rPr>
        <w:t>datetime uses explicit timezone/UTC policy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C2730"/>
          <w:sz w:val="18"/>
        </w:rPr>
        <w:t>raw and normalized data both retained for matching/search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C2730"/>
          <w:sz w:val="18"/>
        </w:rPr>
        <w:t>audit JSON includes schema/version</w:t>
      </w:r>
    </w:p>
    <w:p>
      <w:pPr>
        <w:pStyle w:val="ListBullet"/>
        <w:spacing w:after="40"/>
      </w:pPr>
      <w:r>
        <w:rPr>
          <w:rFonts w:ascii="Prompt" w:hAnsi="Prompt" w:eastAsia="Prompt" w:cs="Prompt"/>
          <w:color w:val="1C2730"/>
          <w:sz w:val="18"/>
        </w:rPr>
        <w:t>PII is not written to general logs/export by default</w:t>
      </w:r>
    </w:p>
    <w:p>
      <w:pPr>
        <w:pStyle w:val="Heading3"/>
        <w:keepNext/>
      </w:pPr>
      <w:r>
        <w:rPr>
          <w:rFonts w:ascii="Kanit" w:hAnsi="Kanit" w:eastAsia="Kanit" w:cs="Kanit"/>
          <w:b/>
          <w:color w:val="2B8C82"/>
          <w:sz w:val="23"/>
        </w:rPr>
        <w:t>Conceptual 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4F8FA"/>
          <w:left w:val="single" w:sz="0" w:color="F4F8FA"/>
          <w:bottom w:val="single" w:sz="0" w:color="F4F8FA"/>
          <w:right w:val="single" w:sz="0" w:color="F4F8FA"/>
          <w:insideH w:val="single" w:sz="0" w:color="F4F8FA"/>
          <w:insideV w:val="single" w:sz="0" w:color="F4F8FA"/>
        </w:tblBorders>
      </w:tblPr>
      <w:tblGrid>
        <w:gridCol w:w="198"/>
        <w:gridCol w:w="9441"/>
      </w:tblGrid>
      <w:tr>
        <w:tc>
          <w:tcPr>
            <w:tcW w:type="dxa" w:w="198"/>
            <w:shd w:fill="2B8C82"/>
          </w:tcPr>
          <w:p>
            <w:r/>
          </w:p>
        </w:tc>
        <w:tc>
          <w:tcPr>
            <w:tcW w:type="dxa" w:w="9441"/>
            <w:shd w:fill="F4F8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Kanit" w:hAnsi="Kanit" w:eastAsia="Kanit" w:cs="Kanit"/>
                <w:b/>
                <w:color w:val="15334A"/>
                <w:sz w:val="19"/>
              </w:rPr>
              <w:t xml:space="preserve">Diagram source  </w:t>
            </w:r>
            <w:r>
              <w:rPr>
                <w:rFonts w:ascii="Prompt" w:hAnsi="Prompt" w:eastAsia="Prompt" w:cs="Prompt"/>
                <w:b w:val="0"/>
                <w:color w:val="1C2730"/>
                <w:sz w:val="18"/>
              </w:rPr>
              <w:t>Mermaid source is retained in Markdown; the reviewed high-resolution rendering is embedded in the figure section.</w:t>
            </w:r>
          </w:p>
        </w:tc>
      </w:tr>
    </w:tbl>
    <w:p>
      <w:pPr>
        <w:spacing w:after="0" w:line="96" w:lineRule="auto"/>
      </w:pPr>
    </w:p>
    <w:p>
      <w:r>
        <w:br w:type="page"/>
      </w:r>
    </w:p>
    <w:p>
      <w:pPr>
        <w:pStyle w:val="Heading1"/>
        <w:keepNext/>
      </w:pPr>
      <w:r>
        <w:rPr>
          <w:rFonts w:ascii="Kanit" w:hAnsi="Kanit" w:eastAsia="Kanit" w:cs="Kanit"/>
          <w:b/>
          <w:color w:val="15334A"/>
          <w:sz w:val="34"/>
        </w:rPr>
        <w:t>11 - Workflow and Workprocess Diagrams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4F8FA"/>
          <w:left w:val="single" w:sz="0" w:color="F4F8FA"/>
          <w:bottom w:val="single" w:sz="0" w:color="F4F8FA"/>
          <w:right w:val="single" w:sz="0" w:color="F4F8FA"/>
          <w:insideH w:val="single" w:sz="0" w:color="F4F8FA"/>
          <w:insideV w:val="single" w:sz="0" w:color="F4F8FA"/>
        </w:tblBorders>
      </w:tblPr>
      <w:tblGrid>
        <w:gridCol w:w="198"/>
        <w:gridCol w:w="9441"/>
      </w:tblGrid>
      <w:tr>
        <w:tc>
          <w:tcPr>
            <w:tcW w:type="dxa" w:w="198"/>
            <w:shd w:fill="2B8C82"/>
          </w:tcPr>
          <w:p>
            <w:r/>
          </w:p>
        </w:tc>
        <w:tc>
          <w:tcPr>
            <w:tcW w:type="dxa" w:w="9441"/>
            <w:shd w:fill="F4F8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Kanit" w:hAnsi="Kanit" w:eastAsia="Kanit" w:cs="Kanit"/>
                <w:b/>
                <w:color w:val="15334A"/>
                <w:sz w:val="19"/>
              </w:rPr>
              <w:t xml:space="preserve">Authoritative source  </w:t>
            </w:r>
            <w:r>
              <w:rPr>
                <w:rFonts w:ascii="Prompt" w:hAnsi="Prompt" w:eastAsia="Prompt" w:cs="Prompt"/>
                <w:b w:val="0"/>
                <w:color w:val="1C2730"/>
                <w:sz w:val="18"/>
              </w:rPr>
              <w:t>docs/enterprise/03-SOLUTION-ARCHITECTURE/WORKFLOW-DIAGRAMS.md · SHA-256 F9BC621DB5847A2EE61E616F963946B183B3C7C74E796EECA4AD14C8DAE16054 · merged as Review content</w:t>
            </w:r>
          </w:p>
        </w:tc>
      </w:tr>
    </w:tbl>
    <w:p>
      <w:pPr>
        <w:spacing w:after="0" w:line="96" w:lineRule="auto"/>
      </w:pPr>
    </w:p>
    <w:p>
      <w:pPr>
        <w:spacing w:after="60"/>
      </w:pPr>
      <w:r>
        <w:rPr>
          <w:rFonts w:ascii="Prompt" w:hAnsi="Prompt" w:eastAsia="Prompt" w:cs="Prompt"/>
          <w:i w:val="0"/>
          <w:color w:val="1C2730"/>
          <w:sz w:val="18"/>
        </w:rPr>
        <w:t>This document contains structured data in Mermaid.js (https://mermaid.js.org/) format.</w:t>
      </w:r>
    </w:p>
    <w:p>
      <w:pPr>
        <w:pStyle w:val="Heading3"/>
        <w:keepNext/>
      </w:pPr>
      <w:r>
        <w:rPr>
          <w:rFonts w:ascii="Kanit" w:hAnsi="Kanit" w:eastAsia="Kanit" w:cs="Kanit"/>
          <w:b/>
          <w:color w:val="2B8C82"/>
          <w:sz w:val="23"/>
        </w:rPr>
        <w:t>How to use with Draw.io</w:t>
      </w:r>
    </w:p>
    <w:p>
      <w:pPr>
        <w:pStyle w:val="ListNumber"/>
        <w:numPr>
          <w:numId w:val="14"/>
        </w:numPr>
        <w:spacing w:after="40"/>
      </w:pPr>
      <w:r>
        <w:rPr>
          <w:rFonts w:ascii="Prompt" w:hAnsi="Prompt" w:eastAsia="Prompt" w:cs="Prompt"/>
          <w:color w:val="1C2730"/>
          <w:sz w:val="18"/>
        </w:rPr>
        <w:t>Open draw.io (https://app.diagrams.net/).</w:t>
      </w:r>
    </w:p>
    <w:p>
      <w:pPr>
        <w:pStyle w:val="ListNumber"/>
        <w:numPr>
          <w:numId w:val="14"/>
        </w:numPr>
        <w:spacing w:after="40"/>
      </w:pPr>
      <w:r>
        <w:rPr>
          <w:rFonts w:ascii="Prompt" w:hAnsi="Prompt" w:eastAsia="Prompt" w:cs="Prompt"/>
          <w:color w:val="1C2730"/>
          <w:sz w:val="18"/>
        </w:rPr>
        <w:t>From the top menu, select Arrange &gt; Insert &gt; Advanced &gt; Mermaid....</w:t>
      </w:r>
    </w:p>
    <w:p>
      <w:pPr>
        <w:pStyle w:val="ListNumber"/>
        <w:numPr>
          <w:numId w:val="14"/>
        </w:numPr>
        <w:spacing w:after="40"/>
      </w:pPr>
      <w:r>
        <w:rPr>
          <w:rFonts w:ascii="Prompt" w:hAnsi="Prompt" w:eastAsia="Prompt" w:cs="Prompt"/>
          <w:color w:val="1C2730"/>
          <w:sz w:val="18"/>
        </w:rPr>
        <w:t>Copy the Mermaid code blocks below (excluding the mermaid backticks) and paste them into the text box.</w:t>
      </w:r>
    </w:p>
    <w:p>
      <w:pPr>
        <w:pStyle w:val="ListNumber"/>
        <w:numPr>
          <w:numId w:val="14"/>
        </w:numPr>
        <w:spacing w:after="40"/>
      </w:pPr>
      <w:r>
        <w:rPr>
          <w:rFonts w:ascii="Prompt" w:hAnsi="Prompt" w:eastAsia="Prompt" w:cs="Prompt"/>
          <w:color w:val="1C2730"/>
          <w:sz w:val="18"/>
        </w:rPr>
        <w:t>Click Insert to generate the flowchart instantly.</w:t>
      </w:r>
    </w:p>
    <w:p>
      <w:pPr>
        <w:pStyle w:val="Heading3"/>
        <w:keepNext/>
      </w:pPr>
      <w:r>
        <w:rPr>
          <w:rFonts w:ascii="Kanit" w:hAnsi="Kanit" w:eastAsia="Kanit" w:cs="Kanit"/>
          <w:b/>
          <w:color w:val="2B8C82"/>
          <w:sz w:val="23"/>
        </w:rPr>
        <w:t>1. End-to-End Sales Order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4F8FA"/>
          <w:left w:val="single" w:sz="0" w:color="F4F8FA"/>
          <w:bottom w:val="single" w:sz="0" w:color="F4F8FA"/>
          <w:right w:val="single" w:sz="0" w:color="F4F8FA"/>
          <w:insideH w:val="single" w:sz="0" w:color="F4F8FA"/>
          <w:insideV w:val="single" w:sz="0" w:color="F4F8FA"/>
        </w:tblBorders>
      </w:tblPr>
      <w:tblGrid>
        <w:gridCol w:w="198"/>
        <w:gridCol w:w="9441"/>
      </w:tblGrid>
      <w:tr>
        <w:tc>
          <w:tcPr>
            <w:tcW w:type="dxa" w:w="198"/>
            <w:shd w:fill="2B8C82"/>
          </w:tcPr>
          <w:p>
            <w:r/>
          </w:p>
        </w:tc>
        <w:tc>
          <w:tcPr>
            <w:tcW w:type="dxa" w:w="9441"/>
            <w:shd w:fill="F4F8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Kanit" w:hAnsi="Kanit" w:eastAsia="Kanit" w:cs="Kanit"/>
                <w:b/>
                <w:color w:val="15334A"/>
                <w:sz w:val="19"/>
              </w:rPr>
              <w:t xml:space="preserve">Diagram source  </w:t>
            </w:r>
            <w:r>
              <w:rPr>
                <w:rFonts w:ascii="Prompt" w:hAnsi="Prompt" w:eastAsia="Prompt" w:cs="Prompt"/>
                <w:b w:val="0"/>
                <w:color w:val="1C2730"/>
                <w:sz w:val="18"/>
              </w:rPr>
              <w:t>Mermaid source is retained in Markdown; the reviewed high-resolution rendering is embedded in the figure section.</w:t>
            </w:r>
          </w:p>
        </w:tc>
      </w:tr>
    </w:tbl>
    <w:p>
      <w:pPr>
        <w:spacing w:after="0" w:line="96" w:lineRule="auto"/>
      </w:pPr>
    </w:p>
    <w:p>
      <w:pPr>
        <w:pStyle w:val="Heading3"/>
        <w:keepNext/>
      </w:pPr>
      <w:r>
        <w:rPr>
          <w:rFonts w:ascii="Kanit" w:hAnsi="Kanit" w:eastAsia="Kanit" w:cs="Kanit"/>
          <w:b/>
          <w:color w:val="2B8C82"/>
          <w:sz w:val="23"/>
        </w:rPr>
        <w:t>2. Quotation Conversion Process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4F8FA"/>
          <w:left w:val="single" w:sz="0" w:color="F4F8FA"/>
          <w:bottom w:val="single" w:sz="0" w:color="F4F8FA"/>
          <w:right w:val="single" w:sz="0" w:color="F4F8FA"/>
          <w:insideH w:val="single" w:sz="0" w:color="F4F8FA"/>
          <w:insideV w:val="single" w:sz="0" w:color="F4F8FA"/>
        </w:tblBorders>
      </w:tblPr>
      <w:tblGrid>
        <w:gridCol w:w="198"/>
        <w:gridCol w:w="9441"/>
      </w:tblGrid>
      <w:tr>
        <w:tc>
          <w:tcPr>
            <w:tcW w:type="dxa" w:w="198"/>
            <w:shd w:fill="2B8C82"/>
          </w:tcPr>
          <w:p>
            <w:r/>
          </w:p>
        </w:tc>
        <w:tc>
          <w:tcPr>
            <w:tcW w:type="dxa" w:w="9441"/>
            <w:shd w:fill="F4F8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Kanit" w:hAnsi="Kanit" w:eastAsia="Kanit" w:cs="Kanit"/>
                <w:b/>
                <w:color w:val="15334A"/>
                <w:sz w:val="19"/>
              </w:rPr>
              <w:t xml:space="preserve">Diagram source  </w:t>
            </w:r>
            <w:r>
              <w:rPr>
                <w:rFonts w:ascii="Prompt" w:hAnsi="Prompt" w:eastAsia="Prompt" w:cs="Prompt"/>
                <w:b w:val="0"/>
                <w:color w:val="1C2730"/>
                <w:sz w:val="18"/>
              </w:rPr>
              <w:t>Mermaid source is retained in Markdown; the reviewed high-resolution rendering is embedded in the figure section.</w:t>
            </w:r>
          </w:p>
        </w:tc>
      </w:tr>
    </w:tbl>
    <w:p>
      <w:pPr>
        <w:spacing w:after="0" w:line="96" w:lineRule="auto"/>
      </w:pPr>
    </w:p>
    <w:p>
      <w:pPr>
        <w:pStyle w:val="Heading3"/>
        <w:keepNext/>
      </w:pPr>
      <w:r>
        <w:rPr>
          <w:rFonts w:ascii="Kanit" w:hAnsi="Kanit" w:eastAsia="Kanit" w:cs="Kanit"/>
          <w:b/>
          <w:color w:val="2B8C82"/>
          <w:sz w:val="23"/>
        </w:rPr>
        <w:t>3. Giveaway Approval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4F8FA"/>
          <w:left w:val="single" w:sz="0" w:color="F4F8FA"/>
          <w:bottom w:val="single" w:sz="0" w:color="F4F8FA"/>
          <w:right w:val="single" w:sz="0" w:color="F4F8FA"/>
          <w:insideH w:val="single" w:sz="0" w:color="F4F8FA"/>
          <w:insideV w:val="single" w:sz="0" w:color="F4F8FA"/>
        </w:tblBorders>
      </w:tblPr>
      <w:tblGrid>
        <w:gridCol w:w="198"/>
        <w:gridCol w:w="9441"/>
      </w:tblGrid>
      <w:tr>
        <w:tc>
          <w:tcPr>
            <w:tcW w:type="dxa" w:w="198"/>
            <w:shd w:fill="2B8C82"/>
          </w:tcPr>
          <w:p>
            <w:r/>
          </w:p>
        </w:tc>
        <w:tc>
          <w:tcPr>
            <w:tcW w:type="dxa" w:w="9441"/>
            <w:shd w:fill="F4F8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Kanit" w:hAnsi="Kanit" w:eastAsia="Kanit" w:cs="Kanit"/>
                <w:b/>
                <w:color w:val="15334A"/>
                <w:sz w:val="19"/>
              </w:rPr>
              <w:t xml:space="preserve">Diagram source  </w:t>
            </w:r>
            <w:r>
              <w:rPr>
                <w:rFonts w:ascii="Prompt" w:hAnsi="Prompt" w:eastAsia="Prompt" w:cs="Prompt"/>
                <w:b w:val="0"/>
                <w:color w:val="1C2730"/>
                <w:sz w:val="18"/>
              </w:rPr>
              <w:t>Mermaid source is retained in Markdown; the reviewed high-resolution rendering is embedded in the figure section.</w:t>
            </w:r>
          </w:p>
        </w:tc>
      </w:tr>
    </w:tbl>
    <w:p>
      <w:pPr>
        <w:spacing w:after="0" w:line="96" w:lineRule="auto"/>
      </w:pPr>
    </w:p>
    <w:p>
      <w:r>
        <w:br w:type="page"/>
      </w:r>
    </w:p>
    <w:p>
      <w:pPr>
        <w:pStyle w:val="Heading1"/>
        <w:keepNext/>
      </w:pPr>
      <w:r>
        <w:rPr>
          <w:rFonts w:ascii="Kanit" w:hAnsi="Kanit" w:eastAsia="Kanit" w:cs="Kanit"/>
          <w:b/>
          <w:color w:val="15334A"/>
          <w:sz w:val="34"/>
        </w:rPr>
        <w:t>Source and evidence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7D5DC"/>
          <w:left w:val="single" w:sz="6" w:color="C7D5DC"/>
          <w:bottom w:val="single" w:sz="6" w:color="C7D5DC"/>
          <w:right w:val="single" w:sz="6" w:color="C7D5DC"/>
          <w:insideH w:val="single" w:sz="6" w:color="C7D5DC"/>
          <w:insideV w:val="single" w:sz="6" w:color="C7D5DC"/>
        </w:tblBorders>
      </w:tblPr>
      <w:tblGrid>
        <w:gridCol w:w="1134"/>
        <w:gridCol w:w="4082"/>
        <w:gridCol w:w="2948"/>
        <w:gridCol w:w="1474"/>
      </w:tblGrid>
      <w:tr>
        <w:trPr>
          <w:tblHeader w:val="true"/>
          <w:cantSplit/>
        </w:trPr>
        <w:tc>
          <w:tcPr>
            <w:tcW w:type="dxa" w:w="1134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4082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Path</w:t>
            </w:r>
          </w:p>
        </w:tc>
        <w:tc>
          <w:tcPr>
            <w:tcW w:type="dxa" w:w="2948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SHA-256</w:t>
            </w:r>
          </w:p>
        </w:tc>
        <w:tc>
          <w:tcPr>
            <w:tcW w:type="dxa" w:w="1474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Disposition</w:t>
            </w:r>
          </w:p>
        </w:tc>
      </w:tr>
      <w:tr>
        <w:trPr>
          <w:cantSplit/>
        </w:trPr>
        <w:tc>
          <w:tcPr>
            <w:tcW w:type="dxa" w:w="113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Markdown</w:t>
            </w:r>
          </w:p>
        </w:tc>
        <w:tc>
          <w:tcPr>
            <w:tcW w:type="dxa" w:w="4082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docs/enterprise/01-BUSINESS-ANALYSIS/BAD-v8.md</w:t>
            </w:r>
          </w:p>
        </w:tc>
        <w:tc>
          <w:tcPr>
            <w:tcW w:type="dxa" w:w="2948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1DEB832C9B5D1B425CF369720BBAF04955E934B1F5AB2382E7473F7BEDA2DD71</w:t>
            </w:r>
          </w:p>
        </w:tc>
        <w:tc>
          <w:tcPr>
            <w:tcW w:type="dxa" w:w="147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Merged into Review candidate</w:t>
            </w:r>
          </w:p>
        </w:tc>
      </w:tr>
      <w:tr>
        <w:trPr>
          <w:cantSplit/>
        </w:trPr>
        <w:tc>
          <w:tcPr>
            <w:tcW w:type="dxa" w:w="113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Markdown</w:t>
            </w:r>
          </w:p>
        </w:tc>
        <w:tc>
          <w:tcPr>
            <w:tcW w:type="dxa" w:w="408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docs/enterprise/01-BUSINESS-ANALYSIS/RACI-AND-STAKEHOLDERS.md</w:t>
            </w:r>
          </w:p>
        </w:tc>
        <w:tc>
          <w:tcPr>
            <w:tcW w:type="dxa" w:w="294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52D22376C6B1D1CC28DCF1D6DAB6F872970894A137313C7FEF52F206A9395798</w:t>
            </w:r>
          </w:p>
        </w:tc>
        <w:tc>
          <w:tcPr>
            <w:tcW w:type="dxa" w:w="147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Merged into Review candidate</w:t>
            </w:r>
          </w:p>
        </w:tc>
      </w:tr>
      <w:tr>
        <w:trPr>
          <w:cantSplit/>
        </w:trPr>
        <w:tc>
          <w:tcPr>
            <w:tcW w:type="dxa" w:w="113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Markdown</w:t>
            </w:r>
          </w:p>
        </w:tc>
        <w:tc>
          <w:tcPr>
            <w:tcW w:type="dxa" w:w="4082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docs/enterprise/03-SOLUTION-ARCHITECTURE/SAD-v8.md</w:t>
            </w:r>
          </w:p>
        </w:tc>
        <w:tc>
          <w:tcPr>
            <w:tcW w:type="dxa" w:w="2948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751BD422F3E4C39DC4E43A6B8572CC48D87351775A5A4617D36FE5CA2CC49777</w:t>
            </w:r>
          </w:p>
        </w:tc>
        <w:tc>
          <w:tcPr>
            <w:tcW w:type="dxa" w:w="147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Merged into Review candidate</w:t>
            </w:r>
          </w:p>
        </w:tc>
      </w:tr>
      <w:tr>
        <w:trPr>
          <w:cantSplit/>
        </w:trPr>
        <w:tc>
          <w:tcPr>
            <w:tcW w:type="dxa" w:w="113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Markdown</w:t>
            </w:r>
          </w:p>
        </w:tc>
        <w:tc>
          <w:tcPr>
            <w:tcW w:type="dxa" w:w="408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docs/enterprise/03-SOLUTION-ARCHITECTURE/C4-ARCHITECTURE.md</w:t>
            </w:r>
          </w:p>
        </w:tc>
        <w:tc>
          <w:tcPr>
            <w:tcW w:type="dxa" w:w="294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101BACF722B8A600204A0B0106779C518BF0F43692D2A1CC6013EC1EB3DA4FD7</w:t>
            </w:r>
          </w:p>
        </w:tc>
        <w:tc>
          <w:tcPr>
            <w:tcW w:type="dxa" w:w="147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Merged into Review candidate</w:t>
            </w:r>
          </w:p>
        </w:tc>
      </w:tr>
      <w:tr>
        <w:trPr>
          <w:cantSplit/>
        </w:trPr>
        <w:tc>
          <w:tcPr>
            <w:tcW w:type="dxa" w:w="113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Markdown</w:t>
            </w:r>
          </w:p>
        </w:tc>
        <w:tc>
          <w:tcPr>
            <w:tcW w:type="dxa" w:w="4082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docs/enterprise/03-SOLUTION-ARCHITECTURE/ADR-001-LAYERED-NONINVASIVE.md</w:t>
            </w:r>
          </w:p>
        </w:tc>
        <w:tc>
          <w:tcPr>
            <w:tcW w:type="dxa" w:w="2948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DDD206566D005742700117157341B40C9BBD1435E609CF3A693B50C0804B0C82</w:t>
            </w:r>
          </w:p>
        </w:tc>
        <w:tc>
          <w:tcPr>
            <w:tcW w:type="dxa" w:w="147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Merged into Review candidate</w:t>
            </w:r>
          </w:p>
        </w:tc>
      </w:tr>
      <w:tr>
        <w:trPr>
          <w:cantSplit/>
        </w:trPr>
        <w:tc>
          <w:tcPr>
            <w:tcW w:type="dxa" w:w="113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Markdown</w:t>
            </w:r>
          </w:p>
        </w:tc>
        <w:tc>
          <w:tcPr>
            <w:tcW w:type="dxa" w:w="408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docs/enterprise/03-SOLUTION-ARCHITECTURE/ADR-002-DATABASE-TOPOLOGY.md</w:t>
            </w:r>
          </w:p>
        </w:tc>
        <w:tc>
          <w:tcPr>
            <w:tcW w:type="dxa" w:w="294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7001AB6065F504C91B5CD841061AFE7BD6FE076166576C72EDE720244B9E6A62</w:t>
            </w:r>
          </w:p>
        </w:tc>
        <w:tc>
          <w:tcPr>
            <w:tcW w:type="dxa" w:w="147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Merged into Review candidate</w:t>
            </w:r>
          </w:p>
        </w:tc>
      </w:tr>
      <w:tr>
        <w:trPr>
          <w:cantSplit/>
        </w:trPr>
        <w:tc>
          <w:tcPr>
            <w:tcW w:type="dxa" w:w="113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Markdown</w:t>
            </w:r>
          </w:p>
        </w:tc>
        <w:tc>
          <w:tcPr>
            <w:tcW w:type="dxa" w:w="4082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docs/enterprise/03-SOLUTION-ARCHITECTURE/ADR-003-WINSPEED-WRITE-BOUNDARY.md</w:t>
            </w:r>
          </w:p>
        </w:tc>
        <w:tc>
          <w:tcPr>
            <w:tcW w:type="dxa" w:w="2948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42316FD65943B863B07F10908E11050644961DB9368466FCE9D9B29EE194557A</w:t>
            </w:r>
          </w:p>
        </w:tc>
        <w:tc>
          <w:tcPr>
            <w:tcW w:type="dxa" w:w="147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Merged into Review candidate</w:t>
            </w:r>
          </w:p>
        </w:tc>
      </w:tr>
      <w:tr>
        <w:trPr>
          <w:cantSplit/>
        </w:trPr>
        <w:tc>
          <w:tcPr>
            <w:tcW w:type="dxa" w:w="113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Markdown</w:t>
            </w:r>
          </w:p>
        </w:tc>
        <w:tc>
          <w:tcPr>
            <w:tcW w:type="dxa" w:w="408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docs/enterprise/03-SOLUTION-ARCHITECTURE/ADR-004-TRUCKSCALE-INTEGRATION.md</w:t>
            </w:r>
          </w:p>
        </w:tc>
        <w:tc>
          <w:tcPr>
            <w:tcW w:type="dxa" w:w="294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DE63608F9127325F6F68F319B607FF71857BF63443FEE36BC932F630BBDBC0DF</w:t>
            </w:r>
          </w:p>
        </w:tc>
        <w:tc>
          <w:tcPr>
            <w:tcW w:type="dxa" w:w="147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Merged into Review candidate</w:t>
            </w:r>
          </w:p>
        </w:tc>
      </w:tr>
      <w:tr>
        <w:trPr>
          <w:cantSplit/>
        </w:trPr>
        <w:tc>
          <w:tcPr>
            <w:tcW w:type="dxa" w:w="113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Markdown</w:t>
            </w:r>
          </w:p>
        </w:tc>
        <w:tc>
          <w:tcPr>
            <w:tcW w:type="dxa" w:w="4082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docs/enterprise/03-SOLUTION-ARCHITECTURE/ADR-005-REBATE-FIFO.md</w:t>
            </w:r>
          </w:p>
        </w:tc>
        <w:tc>
          <w:tcPr>
            <w:tcW w:type="dxa" w:w="2948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1C0C516C879AC8E39AFFAFDFF49B775A28794E33C45DF270E7E474454328F5C4</w:t>
            </w:r>
          </w:p>
        </w:tc>
        <w:tc>
          <w:tcPr>
            <w:tcW w:type="dxa" w:w="147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Merged into Review candidate</w:t>
            </w:r>
          </w:p>
        </w:tc>
      </w:tr>
      <w:tr>
        <w:trPr>
          <w:cantSplit/>
        </w:trPr>
        <w:tc>
          <w:tcPr>
            <w:tcW w:type="dxa" w:w="113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Markdown</w:t>
            </w:r>
          </w:p>
        </w:tc>
        <w:tc>
          <w:tcPr>
            <w:tcW w:type="dxa" w:w="408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docs/enterprise/04-DATA-INTEGRATION/DATA-DESIGN.md</w:t>
            </w:r>
          </w:p>
        </w:tc>
        <w:tc>
          <w:tcPr>
            <w:tcW w:type="dxa" w:w="294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02C1218BA62552576952B01A7ECDC7BA24741919B6174907C6620059213AF243</w:t>
            </w:r>
          </w:p>
        </w:tc>
        <w:tc>
          <w:tcPr>
            <w:tcW w:type="dxa" w:w="147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Merged into Review candidate</w:t>
            </w:r>
          </w:p>
        </w:tc>
      </w:tr>
      <w:tr>
        <w:trPr>
          <w:cantSplit/>
        </w:trPr>
        <w:tc>
          <w:tcPr>
            <w:tcW w:type="dxa" w:w="113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Markdown</w:t>
            </w:r>
          </w:p>
        </w:tc>
        <w:tc>
          <w:tcPr>
            <w:tcW w:type="dxa" w:w="4082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docs/enterprise/03-SOLUTION-ARCHITECTURE/WORKFLOW-DIAGRAMS.md</w:t>
            </w:r>
          </w:p>
        </w:tc>
        <w:tc>
          <w:tcPr>
            <w:tcW w:type="dxa" w:w="2948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F9BC621DB5847A2EE61E616F963946B183B3C7C74E796EECA4AD14C8DAE16054</w:t>
            </w:r>
          </w:p>
        </w:tc>
        <w:tc>
          <w:tcPr>
            <w:tcW w:type="dxa" w:w="147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Merged into Review candidate</w:t>
            </w:r>
          </w:p>
        </w:tc>
      </w:tr>
      <w:tr>
        <w:trPr>
          <w:cantSplit/>
        </w:trPr>
        <w:tc>
          <w:tcPr>
            <w:tcW w:type="dxa" w:w="113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Figure</w:t>
            </w:r>
          </w:p>
        </w:tc>
        <w:tc>
          <w:tcPr>
            <w:tcW w:type="dxa" w:w="408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docs/enterprise/04-DIAGRAMS-PNG/candidate/domain/13-runtime-architecture.png</w:t>
            </w:r>
          </w:p>
        </w:tc>
        <w:tc>
          <w:tcPr>
            <w:tcW w:type="dxa" w:w="294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B08C8F0563C3A84D538E52E28C74370BCDAF05744B2F358CFB60D90319D9E8D3</w:t>
            </w:r>
          </w:p>
        </w:tc>
        <w:tc>
          <w:tcPr>
            <w:tcW w:type="dxa" w:w="147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Embedded with alt text</w:t>
            </w:r>
          </w:p>
        </w:tc>
      </w:tr>
      <w:tr>
        <w:trPr>
          <w:cantSplit/>
        </w:trPr>
        <w:tc>
          <w:tcPr>
            <w:tcW w:type="dxa" w:w="113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Figure</w:t>
            </w:r>
          </w:p>
        </w:tc>
        <w:tc>
          <w:tcPr>
            <w:tcW w:type="dxa" w:w="4082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docs/enterprise/04-DIAGRAMS-PNG/candidate/domain/15-operational-erd.png</w:t>
            </w:r>
          </w:p>
        </w:tc>
        <w:tc>
          <w:tcPr>
            <w:tcW w:type="dxa" w:w="2948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21C695D3CF235B7CE22C49E1ACC3E97A9142D959D95A24BE0FD71A4BEE127D01</w:t>
            </w:r>
          </w:p>
        </w:tc>
        <w:tc>
          <w:tcPr>
            <w:tcW w:type="dxa" w:w="147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Embedded with alt text</w:t>
            </w:r>
          </w:p>
        </w:tc>
      </w:tr>
      <w:tr>
        <w:trPr>
          <w:cantSplit/>
        </w:trPr>
        <w:tc>
          <w:tcPr>
            <w:tcW w:type="dxa" w:w="113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Figure</w:t>
            </w:r>
          </w:p>
        </w:tc>
        <w:tc>
          <w:tcPr>
            <w:tcW w:type="dxa" w:w="408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docs/enterprise/04-DIAGRAMS-PNG/candidate/domain/16-rbac-source-aligned.png</w:t>
            </w:r>
          </w:p>
        </w:tc>
        <w:tc>
          <w:tcPr>
            <w:tcW w:type="dxa" w:w="294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A2FAF61E5FCB4E1EC0CB7DAC363119B89073677B1BE188DCD41CB9A1C0C78B4D</w:t>
            </w:r>
          </w:p>
        </w:tc>
        <w:tc>
          <w:tcPr>
            <w:tcW w:type="dxa" w:w="147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Embedded with alt text</w:t>
            </w:r>
          </w:p>
        </w:tc>
      </w:tr>
      <w:tr>
        <w:trPr>
          <w:cantSplit/>
        </w:trPr>
        <w:tc>
          <w:tcPr>
            <w:tcW w:type="dxa" w:w="113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Figure</w:t>
            </w:r>
          </w:p>
        </w:tc>
        <w:tc>
          <w:tcPr>
            <w:tcW w:type="dxa" w:w="4082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docs/enterprise/04-DIAGRAMS-PNG/candidate/domain/18-rebate-domain-uml.png</w:t>
            </w:r>
          </w:p>
        </w:tc>
        <w:tc>
          <w:tcPr>
            <w:tcW w:type="dxa" w:w="2948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481932EABE7CE15D8A4E76F25DD2D675002514F7ED99542B6DBED19AA9C4CCAE</w:t>
            </w:r>
          </w:p>
        </w:tc>
        <w:tc>
          <w:tcPr>
            <w:tcW w:type="dxa" w:w="1474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Embedded with alt text</w:t>
            </w:r>
          </w:p>
        </w:tc>
      </w:tr>
      <w:tr>
        <w:trPr>
          <w:cantSplit/>
        </w:trPr>
        <w:tc>
          <w:tcPr>
            <w:tcW w:type="dxa" w:w="113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Figure</w:t>
            </w:r>
          </w:p>
        </w:tc>
        <w:tc>
          <w:tcPr>
            <w:tcW w:type="dxa" w:w="408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docs/enterprise/04-DIAGRAMS-PNG/candidate/domain/17-order-to-cash-workflow.png</w:t>
            </w:r>
          </w:p>
        </w:tc>
        <w:tc>
          <w:tcPr>
            <w:tcW w:type="dxa" w:w="294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CC2288765EAE21DC86B1B927202EB2DA941677A6623579E16EC6C791555AC207</w:t>
            </w:r>
          </w:p>
        </w:tc>
        <w:tc>
          <w:tcPr>
            <w:tcW w:type="dxa" w:w="147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4"/>
              </w:rPr>
              <w:t>Embedded with alt text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Kanit" w:hAnsi="Kanit" w:eastAsia="Kanit" w:cs="Kanit"/>
          <w:b/>
          <w:color w:val="15334A"/>
          <w:sz w:val="34"/>
        </w:rPr>
        <w:t>Approval boundary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8E5E5"/>
          <w:left w:val="single" w:sz="0" w:color="F8E5E5"/>
          <w:bottom w:val="single" w:sz="0" w:color="F8E5E5"/>
          <w:right w:val="single" w:sz="0" w:color="F8E5E5"/>
          <w:insideH w:val="single" w:sz="0" w:color="F8E5E5"/>
          <w:insideV w:val="single" w:sz="0" w:color="F8E5E5"/>
        </w:tblBorders>
      </w:tblPr>
      <w:tblGrid>
        <w:gridCol w:w="198"/>
        <w:gridCol w:w="9441"/>
      </w:tblGrid>
      <w:tr>
        <w:tc>
          <w:tcPr>
            <w:tcW w:type="dxa" w:w="198"/>
            <w:shd w:fill="A63C3C"/>
          </w:tcPr>
          <w:p>
            <w:r/>
          </w:p>
        </w:tc>
        <w:tc>
          <w:tcPr>
            <w:tcW w:type="dxa" w:w="9441"/>
            <w:shd w:fill="F8E5E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Kanit" w:hAnsi="Kanit" w:eastAsia="Kanit" w:cs="Kanit"/>
                <w:b/>
                <w:color w:val="15334A"/>
                <w:sz w:val="19"/>
              </w:rPr>
              <w:t xml:space="preserve">Pending human decision  </w:t>
            </w:r>
            <w:r>
              <w:rPr>
                <w:rFonts w:ascii="Prompt" w:hAnsi="Prompt" w:eastAsia="Prompt" w:cs="Prompt"/>
                <w:b w:val="0"/>
                <w:color w:val="1C2730"/>
                <w:sz w:val="18"/>
              </w:rPr>
              <w:t>Candidate นี้ยังไม่เป็น baseline. ต้อง review ความถูกต้องของ business rule, API/data contract, external write boundary, security, operations และ UAT evidence ก่อนบันทึกผู้อนุมัติ/วันที่/ข้อยกเว้น.</w:t>
            </w:r>
          </w:p>
        </w:tc>
      </w:tr>
    </w:tbl>
    <w:p>
      <w:pPr>
        <w:spacing w:after="0" w:line="9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7D5DC"/>
          <w:left w:val="single" w:sz="6" w:color="C7D5DC"/>
          <w:bottom w:val="single" w:sz="6" w:color="C7D5DC"/>
          <w:right w:val="single" w:sz="6" w:color="C7D5DC"/>
          <w:insideH w:val="single" w:sz="6" w:color="C7D5DC"/>
          <w:insideV w:val="single" w:sz="6" w:color="C7D5DC"/>
        </w:tblBorders>
      </w:tblPr>
      <w:tblGrid>
        <w:gridCol w:w="2268"/>
        <w:gridCol w:w="1701"/>
        <w:gridCol w:w="1701"/>
        <w:gridCol w:w="3969"/>
      </w:tblGrid>
      <w:tr>
        <w:trPr>
          <w:tblHeader w:val="true"/>
          <w:cantSplit/>
        </w:trPr>
        <w:tc>
          <w:tcPr>
            <w:tcW w:type="dxa" w:w="2268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Approval role</w:t>
            </w:r>
          </w:p>
        </w:tc>
        <w:tc>
          <w:tcPr>
            <w:tcW w:type="dxa" w:w="1701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1701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Decision / date</w:t>
            </w:r>
          </w:p>
        </w:tc>
        <w:tc>
          <w:tcPr>
            <w:tcW w:type="dxa" w:w="3969"/>
            <w:shd w:fill="1B6B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Kanit" w:hAnsi="Kanit" w:eastAsia="Kanit" w:cs="Kanit"/>
                <w:b/>
                <w:color w:val="FFFFFF"/>
                <w:sz w:val="16"/>
              </w:rPr>
              <w:t>Conditions or evidence reference</w:t>
            </w:r>
          </w:p>
        </w:tc>
      </w:tr>
      <w:tr>
        <w:trPr>
          <w:cantSplit/>
        </w:trPr>
        <w:tc>
          <w:tcPr>
            <w:tcW w:type="dxa" w:w="2268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Business owner / Product owner</w:t>
            </w:r>
          </w:p>
        </w:tc>
        <w:tc>
          <w:tcPr>
            <w:tcW w:type="dxa" w:w="170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</w:r>
          </w:p>
        </w:tc>
        <w:tc>
          <w:tcPr>
            <w:tcW w:type="dxa" w:w="170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Pending</w:t>
            </w:r>
          </w:p>
        </w:tc>
        <w:tc>
          <w:tcPr>
            <w:tcW w:type="dxa" w:w="3969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Solution architect / Technical lead</w:t>
            </w:r>
          </w:p>
        </w:tc>
        <w:tc>
          <w:tcPr>
            <w:tcW w:type="dxa" w:w="170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Pending</w:t>
            </w:r>
          </w:p>
        </w:tc>
        <w:tc>
          <w:tcPr>
            <w:tcW w:type="dxa" w:w="3969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</w:r>
          </w:p>
        </w:tc>
      </w:tr>
      <w:tr>
        <w:trPr>
          <w:cantSplit/>
        </w:trPr>
        <w:tc>
          <w:tcPr>
            <w:tcW w:type="dxa" w:w="2268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Security / DBA / Integration owner</w:t>
            </w:r>
          </w:p>
        </w:tc>
        <w:tc>
          <w:tcPr>
            <w:tcW w:type="dxa" w:w="170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</w:r>
          </w:p>
        </w:tc>
        <w:tc>
          <w:tcPr>
            <w:tcW w:type="dxa" w:w="170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Pending</w:t>
            </w:r>
          </w:p>
        </w:tc>
        <w:tc>
          <w:tcPr>
            <w:tcW w:type="dxa" w:w="3969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QA / UAT owner</w:t>
            </w:r>
          </w:p>
        </w:tc>
        <w:tc>
          <w:tcPr>
            <w:tcW w:type="dxa" w:w="170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Pending</w:t>
            </w:r>
          </w:p>
        </w:tc>
        <w:tc>
          <w:tcPr>
            <w:tcW w:type="dxa" w:w="3969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/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</w:r>
          </w:p>
        </w:tc>
      </w:tr>
      <w:tr>
        <w:trPr>
          <w:cantSplit/>
        </w:trPr>
        <w:tc>
          <w:tcPr>
            <w:tcW w:type="dxa" w:w="2268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Operations / Release authority</w:t>
            </w:r>
          </w:p>
        </w:tc>
        <w:tc>
          <w:tcPr>
            <w:tcW w:type="dxa" w:w="170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</w:r>
          </w:p>
        </w:tc>
        <w:tc>
          <w:tcPr>
            <w:tcW w:type="dxa" w:w="1701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  <w:t>Pending</w:t>
            </w:r>
          </w:p>
        </w:tc>
        <w:tc>
          <w:tcPr>
            <w:tcW w:type="dxa" w:w="3969"/>
            <w:shd w:fill="F4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Prompt" w:hAnsi="Prompt" w:eastAsia="Prompt" w:cs="Prompt"/>
                <w:b w:val="0"/>
                <w:color w:val="1C2730"/>
                <w:sz w:val="16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79" w:right="1134" w:bottom="822" w:left="1134" w:header="369" w:footer="36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rompt" w:hAnsi="Prompt" w:eastAsia="Prompt" w:cs="Prompt"/>
        <w:color w:val="5B6872"/>
        <w:sz w:val="15"/>
      </w:rPr>
      <w:t xml:space="preserve">CONFIDENTIAL · Candidate / Review only  |  </w:t>
    </w:r>
    <w:r>
      <w:rPr>
        <w:rFonts w:ascii="Prompt" w:hAnsi="Prompt" w:eastAsia="Prompt" w:cs="Prompt"/>
        <w:color w:val="5B6872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Prompt" w:hAnsi="Prompt" w:eastAsia="Prompt" w:cs="Prompt"/>
        <w:color w:val="5B6872"/>
        <w:sz w:val="15"/>
      </w:rPr>
      <w:t xml:space="preserve"> / </w:t>
    </w:r>
    <w:r>
      <w:rPr>
        <w:rFonts w:ascii="Prompt" w:hAnsi="Prompt" w:eastAsia="Prompt" w:cs="Prompt"/>
        <w:color w:val="5B6872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0" w:color="15334A"/>
        <w:left w:val="single" w:sz="0" w:color="15334A"/>
        <w:bottom w:val="single" w:sz="0" w:color="15334A"/>
        <w:right w:val="single" w:sz="0" w:color="15334A"/>
        <w:insideH w:val="single" w:sz="0" w:color="15334A"/>
        <w:insideV w:val="single" w:sz="0" w:color="15334A"/>
      </w:tblBorders>
    </w:tblPr>
    <w:tblGrid>
      <w:gridCol w:w="6180"/>
      <w:gridCol w:w="3459"/>
    </w:tblGrid>
    <w:tr>
      <w:tc>
        <w:tcPr>
          <w:tcW w:type="dxa" w:w="6180"/>
          <w:shd w:fill="15334A"/>
          <w:vAlign w:val="center"/>
          <w:tcMar>
            <w:top w:w="90" w:type="dxa"/>
            <w:start w:w="110" w:type="dxa"/>
            <w:bottom w:w="90" w:type="dxa"/>
            <w:end w:w="110" w:type="dxa"/>
          </w:tcMar>
        </w:tcPr>
        <w:p>
          <w:pPr>
            <w:spacing w:after="0" w:line="245" w:lineRule="auto"/>
          </w:pPr>
          <w:r/>
          <w:r>
            <w:rPr>
              <w:rFonts w:ascii="Kanit" w:hAnsi="Kanit" w:eastAsia="Kanit" w:cs="Kanit"/>
              <w:b/>
              <w:color w:val="FFFFFF"/>
              <w:sz w:val="17"/>
            </w:rPr>
            <w:t>WS-Sale-App  |  Analysis and Design Document</w:t>
          </w:r>
        </w:p>
      </w:tc>
      <w:tc>
        <w:tcPr>
          <w:tcW w:type="dxa" w:w="3459"/>
          <w:shd w:fill="DDEEF3"/>
          <w:vAlign w:val="center"/>
          <w:tcMar>
            <w:top w:w="90" w:type="dxa"/>
            <w:start w:w="110" w:type="dxa"/>
            <w:bottom w:w="90" w:type="dxa"/>
            <w:end w:w="110" w:type="dxa"/>
          </w:tcMar>
        </w:tcPr>
        <w:p>
          <w:pPr>
            <w:spacing w:after="0" w:line="245" w:lineRule="auto"/>
            <w:jc w:val="right"/>
          </w:pPr>
          <w:r/>
          <w:r>
            <w:rPr>
              <w:rFonts w:ascii="Kanit" w:hAnsi="Kanit" w:eastAsia="Kanit" w:cs="Kanit"/>
              <w:b/>
              <w:color w:val="15334A"/>
              <w:sz w:val="16"/>
            </w:rPr>
            <w:t>WF-SAD-001  ·  REVIEW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after="60"/>
    </w:pPr>
    <w:rPr>
      <w:rFonts w:ascii="Prompt" w:hAnsi="Prompt" w:eastAsia="Prompt"/>
      <w:color w:val="1C273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Kanit" w:hAnsi="Kanit" w:eastAsia="Kanit"/>
      <w:b/>
      <w:bCs/>
      <w:color w:val="1533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Kanit" w:hAnsi="Kanit" w:eastAsia="Kanit"/>
      <w:b/>
      <w:bCs/>
      <w:color w:val="1B6B88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Kanit" w:hAnsi="Kanit" w:eastAsia="Kanit"/>
      <w:b/>
      <w:bCs/>
      <w:color w:val="2B8C8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00" w:after="40"/>
      <w:outlineLvl w:val="3"/>
    </w:pPr>
    <w:rPr>
      <w:rFonts w:asciiTheme="majorHAnsi" w:eastAsiaTheme="majorEastAsia" w:hAnsiTheme="majorHAnsi" w:cstheme="majorBidi" w:ascii="Kanit" w:hAnsi="Kanit" w:eastAsia="Kanit"/>
      <w:b/>
      <w:bCs/>
      <w:i/>
      <w:iCs/>
      <w:color w:val="1C273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Kanit" w:hAnsi="Kanit" w:eastAsia="Kanit"/>
      <w:b/>
      <w:color w:val="FFFFF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80"/>
    </w:pPr>
    <w:rPr>
      <w:rFonts w:asciiTheme="majorHAnsi" w:eastAsiaTheme="majorEastAsia" w:hAnsiTheme="majorHAnsi" w:cstheme="majorBidi" w:ascii="Kanit" w:hAnsi="Kanit" w:eastAsia="Kanit"/>
      <w:b/>
      <w:i/>
      <w:iCs/>
      <w:color w:val="FFFFFF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Prompt" w:hAnsi="Prompt" w:eastAsia="Prompt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Prompt" w:hAnsi="Prompt" w:eastAsia="Prompt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Prompt" w:hAnsi="Prompt" w:eastAsia="Prompt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40"/>
      <w:contextualSpacing/>
    </w:pPr>
    <w:rPr>
      <w:rFonts w:ascii="Prompt" w:hAnsi="Prompt" w:eastAsia="Prompt"/>
      <w:sz w:val="1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Analysis and Design Document</dc:title>
  <dc:subject>Stakeholders, Architecture, Decisions, Data and Workflows</dc:subject>
  <dc:creator>World Fert Solution Documentation Pipeline</dc:creator>
  <cp:keywords>WS-Sale-App, Review Candidate, ISO, source-aligned, traceability</cp:keywords>
  <dc:description>Generated candidate. Human approval and baseline acceptance are required.</dc:description>
  <cp:lastModifiedBy/>
  <cp:revision>1</cp:revision>
  <dcterms:created xsi:type="dcterms:W3CDTF">2013-12-23T23:15:00Z</dcterms:created>
  <dcterms:modified xsi:type="dcterms:W3CDTF">2013-12-23T23:15:00Z</dcterms:modified>
  <cp:category>Controlled solution-development document</cp:category>
  <dc:language>th-TH</dc:language>
</cp:coreProperties>
</file>