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15334A"/>
          <w:left w:val="single" w:sz="0" w:color="15334A"/>
          <w:bottom w:val="single" w:sz="0" w:color="15334A"/>
          <w:right w:val="single" w:sz="0" w:color="15334A"/>
          <w:insideH w:val="single" w:sz="0" w:color="15334A"/>
          <w:insideV w:val="single" w:sz="0" w:color="15334A"/>
        </w:tblBorders>
      </w:tblPr>
      <w:tblGrid>
        <w:gridCol w:w="9639"/>
      </w:tblGrid>
      <w:tr>
        <w:tc>
          <w:tcPr>
            <w:tcW w:type="dxa" w:w="9639"/>
            <w:shd w:fill="15334A"/>
            <w:tcMar>
              <w:top w:w="340" w:type="dxa"/>
              <w:start w:w="280" w:type="dxa"/>
              <w:bottom w:w="340" w:type="dxa"/>
              <w:end w:w="280" w:type="dxa"/>
            </w:tcMar>
          </w:tcPr>
          <w:p>
            <w:pPr>
              <w:jc w:val="left"/>
            </w:pPr>
            <w:r/>
            <w:r>
              <w:rPr>
                <w:rFonts w:ascii="Kanit" w:hAnsi="Kanit" w:eastAsia="Kanit" w:cs="Kanit"/>
                <w:b/>
                <w:color w:val="F4B942"/>
                <w:sz w:val="21"/>
              </w:rPr>
              <w:t>WORLD FERT · SOLUTION DEVELOPMENT</w:t>
            </w:r>
          </w:p>
          <w:p>
            <w:pPr>
              <w:spacing w:before="280"/>
            </w:pPr>
            <w:r>
              <w:rPr>
                <w:rFonts w:ascii="Kanit" w:hAnsi="Kanit" w:eastAsia="Kanit" w:cs="Kanit"/>
                <w:b/>
                <w:color w:val="FFFFFF"/>
                <w:sz w:val="56"/>
              </w:rPr>
              <w:t>Technical Specification</w:t>
            </w:r>
          </w:p>
          <w:p>
            <w:r>
              <w:rPr>
                <w:rFonts w:ascii="Prompt" w:hAnsi="Prompt" w:eastAsia="Prompt" w:cs="Prompt"/>
                <w:b w:val="0"/>
                <w:color w:val="DDEEF3"/>
                <w:sz w:val="26"/>
              </w:rPr>
              <w:t>Runtime, API, Data, Integration, Security and Operations</w:t>
            </w:r>
          </w:p>
          <w:p>
            <w:pPr>
              <w:spacing w:before="360"/>
            </w:pPr>
            <w:r>
              <w:rPr>
                <w:rFonts w:ascii="Kanit" w:hAnsi="Kanit" w:eastAsia="Kanit" w:cs="Kanit"/>
                <w:b/>
                <w:color w:val="F4B942"/>
                <w:sz w:val="20"/>
              </w:rPr>
              <w:t>SOURCE-ALIGNED CANDIDATE · REVIEW</w:t>
            </w:r>
          </w:p>
        </w:tc>
      </w:tr>
    </w:tbl>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381"/>
        <w:gridCol w:w="7258"/>
      </w:tblGrid>
      <w:tr>
        <w:trPr>
          <w:tblHeader w:val="true"/>
          <w:cantSplit/>
        </w:trPr>
        <w:tc>
          <w:tcPr>
            <w:tcW w:type="dxa" w:w="2381"/>
            <w:shd w:fill="2B8C82"/>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Control</w:t>
            </w:r>
          </w:p>
        </w:tc>
        <w:tc>
          <w:tcPr>
            <w:tcW w:type="dxa" w:w="7258"/>
            <w:shd w:fill="2B8C82"/>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Value</w:t>
            </w:r>
          </w:p>
        </w:tc>
      </w:tr>
      <w:tr>
        <w:trPr>
          <w:cantSplit/>
        </w:trPr>
        <w:tc>
          <w:tcPr>
            <w:tcW w:type="dxa" w:w="238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Document ID</w:t>
            </w:r>
          </w:p>
        </w:tc>
        <w:tc>
          <w:tcPr>
            <w:tcW w:type="dxa" w:w="725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WF-TECH-001</w:t>
            </w:r>
          </w:p>
        </w:tc>
      </w:tr>
      <w:tr>
        <w:trPr>
          <w:cantSplit/>
        </w:trPr>
        <w:tc>
          <w:tcPr>
            <w:tcW w:type="dxa" w:w="238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Version / Runtime</w:t>
            </w:r>
          </w:p>
        </w:tc>
        <w:tc>
          <w:tcPr>
            <w:tcW w:type="dxa" w:w="725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v1.0 candidate / runtime 1.0.1</w:t>
            </w:r>
          </w:p>
        </w:tc>
      </w:tr>
      <w:tr>
        <w:trPr>
          <w:cantSplit/>
        </w:trPr>
        <w:tc>
          <w:tcPr>
            <w:tcW w:type="dxa" w:w="238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Date</w:t>
            </w:r>
          </w:p>
        </w:tc>
        <w:tc>
          <w:tcPr>
            <w:tcW w:type="dxa" w:w="725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23 July 2026 / 23 กรกฎาคม 2569</w:t>
            </w:r>
          </w:p>
        </w:tc>
      </w:tr>
      <w:tr>
        <w:trPr>
          <w:cantSplit/>
        </w:trPr>
        <w:tc>
          <w:tcPr>
            <w:tcW w:type="dxa" w:w="238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Source commit</w:t>
            </w:r>
          </w:p>
        </w:tc>
        <w:tc>
          <w:tcPr>
            <w:tcW w:type="dxa" w:w="725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79a10a28e6a2fba9b65dc85101ff8ab6d784b91c</w:t>
            </w:r>
          </w:p>
        </w:tc>
      </w:tr>
      <w:tr>
        <w:trPr>
          <w:cantSplit/>
        </w:trPr>
        <w:tc>
          <w:tcPr>
            <w:tcW w:type="dxa" w:w="238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Source inventory SHA-256</w:t>
            </w:r>
          </w:p>
        </w:tc>
        <w:tc>
          <w:tcPr>
            <w:tcW w:type="dxa" w:w="725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12B9F964C7C90341859EDD6CDDE9B92BA35D797347F2AA64A1134E1E885FC343</w:t>
            </w:r>
          </w:p>
        </w:tc>
      </w:tr>
      <w:tr>
        <w:trPr>
          <w:cantSplit/>
        </w:trPr>
        <w:tc>
          <w:tcPr>
            <w:tcW w:type="dxa" w:w="238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Automated evidence</w:t>
            </w:r>
          </w:p>
        </w:tc>
        <w:tc>
          <w:tcPr>
            <w:tcW w:type="dxa" w:w="725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7"/>
              </w:rPr>
              <w:t>2026-07-23T09-56-59-217Z · 10/10 passed · source stable</w:t>
            </w:r>
          </w:p>
        </w:tc>
      </w:tr>
      <w:tr>
        <w:trPr>
          <w:cantSplit/>
        </w:trPr>
        <w:tc>
          <w:tcPr>
            <w:tcW w:type="dxa" w:w="238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7"/>
              </w:rPr>
              <w:t>Status</w:t>
            </w:r>
          </w:p>
        </w:tc>
        <w:tc>
          <w:tcPr>
            <w:tcW w:type="dxa" w:w="725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7"/>
              </w:rPr>
              <w:t>Review — approval and baseline acceptance required</w:t>
            </w:r>
          </w:p>
        </w:tc>
      </w:tr>
    </w:tbl>
    <w:tbl>
      <w:tblPr>
        <w:tblW w:type="auto" w:w="0"/>
        <w:jc w:val="center"/>
        <w:tblLayout w:type="fixed"/>
        <w:tblLook w:firstColumn="1" w:firstRow="1" w:lastColumn="0" w:lastRow="0" w:noHBand="0" w:noVBand="1" w:val="04A0"/>
        <w:tblBorders>
          <w:top w:val="single" w:sz="0" w:color="FFF3D1"/>
          <w:left w:val="single" w:sz="0" w:color="FFF3D1"/>
          <w:bottom w:val="single" w:sz="0" w:color="FFF3D1"/>
          <w:right w:val="single" w:sz="0" w:color="FFF3D1"/>
          <w:insideH w:val="single" w:sz="0" w:color="FFF3D1"/>
          <w:insideV w:val="single" w:sz="0" w:color="FFF3D1"/>
        </w:tblBorders>
      </w:tblPr>
      <w:tblGrid>
        <w:gridCol w:w="198"/>
        <w:gridCol w:w="9441"/>
      </w:tblGrid>
      <w:tr>
        <w:tc>
          <w:tcPr>
            <w:tcW w:type="dxa" w:w="198"/>
            <w:shd w:fill="F4B942"/>
          </w:tcPr>
          <w:p>
            <w:r/>
          </w:p>
        </w:tc>
        <w:tc>
          <w:tcPr>
            <w:tcW w:type="dxa" w:w="9441"/>
            <w:shd w:fill="FFF3D1"/>
            <w:tcMar>
              <w:top w:w="120" w:type="dxa"/>
              <w:start w:w="140" w:type="dxa"/>
              <w:bottom w:w="120" w:type="dxa"/>
              <w:end w:w="140" w:type="dxa"/>
            </w:tcMar>
          </w:tcPr>
          <w:p>
            <w:pPr>
              <w:spacing w:after="0"/>
            </w:pPr>
            <w:r>
              <w:rPr>
                <w:rFonts w:ascii="Kanit" w:hAnsi="Kanit" w:eastAsia="Kanit" w:cs="Kanit"/>
                <w:b/>
                <w:color w:val="15334A"/>
                <w:sz w:val="19"/>
              </w:rPr>
              <w:t xml:space="preserve">การใช้เอกสาร  </w:t>
            </w:r>
            <w:r>
              <w:rPr>
                <w:rFonts w:ascii="Prompt" w:hAnsi="Prompt" w:eastAsia="Prompt" w:cs="Prompt"/>
                <w:b w:val="0"/>
                <w:color w:val="1C2730"/>
                <w:sz w:val="18"/>
              </w:rPr>
              <w:t>สร้างจาก Markdown และ source evidence ล่าสุดตามนโยบาย latest-document-wins; ห้ามตีความเป็น Approved, Released หรือ ISO certification จนกว่าจะมีผู้มีอำนาจลงนามและรับ baseline.</w:t>
            </w:r>
          </w:p>
        </w:tc>
      </w:tr>
    </w:tbl>
    <w:p>
      <w:pPr>
        <w:spacing w:after="0" w:line="96" w:lineRule="auto"/>
      </w:pPr>
    </w:p>
    <w:p>
      <w:pPr>
        <w:keepNext/>
        <w:jc w:val="center"/>
      </w:pPr>
      <w:r>
        <w:drawing>
          <wp:inline xmlns:a="http://schemas.openxmlformats.org/drawingml/2006/main" xmlns:pic="http://schemas.openxmlformats.org/drawingml/2006/picture">
            <wp:extent cx="5616000" cy="1236724"/>
            <wp:docPr id="1" name="Picture 1" descr="Executive visual — Technical Specification" title="Executive visual — Technical Specification"/>
            <wp:cNvGraphicFramePr>
              <a:graphicFrameLocks noChangeAspect="1"/>
            </wp:cNvGraphicFramePr>
            <a:graphic>
              <a:graphicData uri="http://schemas.openxmlformats.org/drawingml/2006/picture">
                <pic:pic>
                  <pic:nvPicPr>
                    <pic:cNvPr id="0" name="13-runtime-architecture.png"/>
                    <pic:cNvPicPr/>
                  </pic:nvPicPr>
                  <pic:blipFill>
                    <a:blip r:embed="rId11"/>
                    <a:stretch>
                      <a:fillRect/>
                    </a:stretch>
                  </pic:blipFill>
                  <pic:spPr>
                    <a:xfrm>
                      <a:off x="0" y="0"/>
                      <a:ext cx="5616000" cy="1236724"/>
                    </a:xfrm>
                    <a:prstGeom prst="rect"/>
                  </pic:spPr>
                </pic:pic>
              </a:graphicData>
            </a:graphic>
          </wp:inline>
        </w:drawing>
      </w:r>
    </w:p>
    <w:p>
      <w:pPr>
        <w:spacing w:after="120"/>
        <w:jc w:val="center"/>
      </w:pPr>
      <w:r>
        <w:rPr>
          <w:rFonts w:ascii="Prompt" w:hAnsi="Prompt" w:eastAsia="Prompt" w:cs="Prompt"/>
          <w:b w:val="0"/>
          <w:i/>
          <w:color w:val="5B6872"/>
          <w:sz w:val="16"/>
        </w:rPr>
        <w:t>Executive visual — Technical Specification</w:t>
      </w:r>
    </w:p>
    <w:p>
      <w:r>
        <w:br w:type="page"/>
      </w:r>
    </w:p>
    <w:p>
      <w:pPr>
        <w:pStyle w:val="Heading1"/>
        <w:keepNext/>
      </w:pPr>
      <w:r>
        <w:rPr>
          <w:rFonts w:ascii="Kanit" w:hAnsi="Kanit" w:eastAsia="Kanit" w:cs="Kanit"/>
          <w:b/>
          <w:color w:val="15334A"/>
          <w:sz w:val="34"/>
        </w:rPr>
        <w:t>Document control</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495"/>
        <w:gridCol w:w="7144"/>
      </w:tblGrid>
      <w:tr>
        <w:trPr>
          <w:tblHeader w:val="true"/>
          <w:cantSplit/>
        </w:trPr>
        <w:tc>
          <w:tcPr>
            <w:tcW w:type="dxa" w:w="249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รายการ</w:t>
            </w:r>
          </w:p>
        </w:tc>
        <w:tc>
          <w:tcPr>
            <w:tcW w:type="dxa" w:w="714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รายละเอียด</w:t>
            </w:r>
          </w:p>
        </w:tc>
      </w:tr>
      <w:tr>
        <w:trPr>
          <w:cantSplit/>
        </w:trPr>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Document ID</w:t>
            </w:r>
          </w:p>
        </w:tc>
        <w:tc>
          <w:tcPr>
            <w:tcW w:type="dxa" w:w="71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WF-TECH-001</w:t>
            </w:r>
          </w:p>
        </w:tc>
      </w:tr>
      <w:tr>
        <w:trPr>
          <w:cantSplit/>
        </w:trPr>
        <w:tc>
          <w:tcPr>
            <w:tcW w:type="dxa" w:w="24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Title</w:t>
            </w:r>
          </w:p>
        </w:tc>
        <w:tc>
          <w:tcPr>
            <w:tcW w:type="dxa" w:w="714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Technical Specification</w:t>
            </w:r>
          </w:p>
        </w:tc>
      </w:tr>
      <w:tr>
        <w:trPr>
          <w:cantSplit/>
        </w:trPr>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Owner</w:t>
            </w:r>
          </w:p>
        </w:tc>
        <w:tc>
          <w:tcPr>
            <w:tcW w:type="dxa" w:w="71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Solution Architect / Technical Lead / Security / DevOps</w:t>
            </w:r>
          </w:p>
        </w:tc>
      </w:tr>
      <w:tr>
        <w:trPr>
          <w:cantSplit/>
        </w:trPr>
        <w:tc>
          <w:tcPr>
            <w:tcW w:type="dxa" w:w="24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Status</w:t>
            </w:r>
          </w:p>
        </w:tc>
        <w:tc>
          <w:tcPr>
            <w:tcW w:type="dxa" w:w="714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Review — Candidate</w:t>
            </w:r>
          </w:p>
        </w:tc>
      </w:tr>
      <w:tr>
        <w:trPr>
          <w:cantSplit/>
        </w:trPr>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Classification</w:t>
            </w:r>
          </w:p>
        </w:tc>
        <w:tc>
          <w:tcPr>
            <w:tcW w:type="dxa" w:w="71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Confidential — Client / Authorized Partner Use Only</w:t>
            </w:r>
          </w:p>
        </w:tc>
      </w:tr>
      <w:tr>
        <w:trPr>
          <w:cantSplit/>
        </w:trPr>
        <w:tc>
          <w:tcPr>
            <w:tcW w:type="dxa" w:w="24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Design preset</w:t>
            </w:r>
          </w:p>
        </w:tc>
        <w:tc>
          <w:tcPr>
            <w:tcW w:type="dxa" w:w="714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standard_business_brief · A4 · Prompt/Kanit override</w:t>
            </w:r>
          </w:p>
        </w:tc>
      </w:tr>
      <w:tr>
        <w:trPr>
          <w:cantSplit/>
        </w:trPr>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Header pattern</w:t>
            </w:r>
          </w:p>
        </w:tc>
        <w:tc>
          <w:tcPr>
            <w:tcW w:type="dxa" w:w="71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memo_masthead</w:t>
            </w:r>
          </w:p>
        </w:tc>
      </w:tr>
      <w:tr>
        <w:trPr>
          <w:cantSplit/>
        </w:trPr>
        <w:tc>
          <w:tcPr>
            <w:tcW w:type="dxa" w:w="249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Generation rule</w:t>
            </w:r>
          </w:p>
        </w:tc>
        <w:tc>
          <w:tcPr>
            <w:tcW w:type="dxa" w:w="71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drift check → source merge → render → QA → human review</w:t>
            </w:r>
          </w:p>
        </w:tc>
      </w:tr>
    </w:tbl>
    <w:p>
      <w:pPr>
        <w:pStyle w:val="Heading2"/>
        <w:keepNext/>
      </w:pPr>
      <w:r>
        <w:rPr>
          <w:rFonts w:ascii="Kanit" w:hAnsi="Kanit" w:eastAsia="Kanit" w:cs="Kanit"/>
          <w:b/>
          <w:color w:val="1B6B88"/>
          <w:sz w:val="27"/>
        </w:rPr>
        <w:t>Revision and approval record</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247"/>
        <w:gridCol w:w="1361"/>
        <w:gridCol w:w="3969"/>
        <w:gridCol w:w="1588"/>
        <w:gridCol w:w="1474"/>
      </w:tblGrid>
      <w:tr>
        <w:trPr>
          <w:tblHeader w:val="true"/>
          <w:cantSplit/>
        </w:trPr>
        <w:tc>
          <w:tcPr>
            <w:tcW w:type="dxa" w:w="124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Version</w:t>
            </w:r>
          </w:p>
        </w:tc>
        <w:tc>
          <w:tcPr>
            <w:tcW w:type="dxa" w:w="136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Date</w:t>
            </w:r>
          </w:p>
        </w:tc>
        <w:tc>
          <w:tcPr>
            <w:tcW w:type="dxa" w:w="396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Change</w:t>
            </w:r>
          </w:p>
        </w:tc>
        <w:tc>
          <w:tcPr>
            <w:tcW w:type="dxa" w:w="158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Prepared by</w:t>
            </w:r>
          </w:p>
        </w:tc>
        <w:tc>
          <w:tcPr>
            <w:tcW w:type="dxa" w:w="147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Reviewed / approved</w:t>
            </w:r>
          </w:p>
        </w:tc>
      </w:tr>
      <w:tr>
        <w:trPr>
          <w:cantSplit/>
        </w:trPr>
        <w:tc>
          <w:tcPr>
            <w:tcW w:type="dxa" w:w="1247"/>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v1.0 candidate</w:t>
            </w:r>
          </w:p>
        </w:tc>
        <w:tc>
          <w:tcPr>
            <w:tcW w:type="dxa" w:w="136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2026-07-23</w:t>
            </w:r>
          </w:p>
        </w:tc>
        <w:tc>
          <w:tcPr>
            <w:tcW w:type="dxa" w:w="396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Rebuilt from source-aligned Markdown, runtime inventory, diagrams and current E2E evidence</w:t>
            </w:r>
          </w:p>
        </w:tc>
        <w:tc>
          <w:tcPr>
            <w:tcW w:type="dxa" w:w="158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Documentation pipeline</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Pending named human approval</w:t>
            </w:r>
          </w:p>
        </w:tc>
      </w:tr>
    </w:tbl>
    <w:p>
      <w:pPr>
        <w:pStyle w:val="Heading1"/>
        <w:keepNext/>
      </w:pPr>
      <w:r>
        <w:rPr>
          <w:rFonts w:ascii="Kanit" w:hAnsi="Kanit" w:eastAsia="Kanit" w:cs="Kanit"/>
          <w:b/>
          <w:color w:val="15334A"/>
          <w:sz w:val="34"/>
        </w:rPr>
        <w:t>Executive source snapshot</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701"/>
        <w:gridCol w:w="4423"/>
        <w:gridCol w:w="3515"/>
      </w:tblGrid>
      <w:tr>
        <w:trPr>
          <w:tblHeader w:val="true"/>
          <w:cantSplit/>
        </w:trPr>
        <w:tc>
          <w:tcPr>
            <w:tcW w:type="dxa" w:w="170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Evidence area</w:t>
            </w:r>
          </w:p>
        </w:tc>
        <w:tc>
          <w:tcPr>
            <w:tcW w:type="dxa" w:w="442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Current verified fact</w:t>
            </w:r>
          </w:p>
        </w:tc>
        <w:tc>
          <w:tcPr>
            <w:tcW w:type="dxa" w:w="351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Boundary</w:t>
            </w:r>
          </w:p>
        </w:tc>
      </w:tr>
      <w:tr>
        <w:trPr>
          <w:cantSplit/>
        </w:trPr>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Runtime</w:t>
            </w:r>
          </w:p>
        </w:tc>
        <w:tc>
          <w:tcPr>
            <w:tcW w:type="dxa" w:w="442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1.0.1 across root/backend/frontend packages</w:t>
            </w:r>
          </w:p>
        </w:tc>
        <w:tc>
          <w:tcPr>
            <w:tcW w:type="dxa" w:w="351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Development source snapshot</w:t>
            </w:r>
          </w:p>
        </w:tc>
      </w:tr>
      <w:tr>
        <w:trPr>
          <w:cantSplit/>
        </w:trPr>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Source</w:t>
            </w:r>
          </w:p>
        </w:tc>
        <w:tc>
          <w:tcPr>
            <w:tcW w:type="dxa" w:w="442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220 files · SHA 12B9F964…FC343 · commit 79a10a28</w:t>
            </w:r>
          </w:p>
        </w:tc>
        <w:tc>
          <w:tcPr>
            <w:tcW w:type="dxa" w:w="351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Dirty worktree remains visible</w:t>
            </w:r>
          </w:p>
        </w:tc>
      </w:tr>
      <w:tr>
        <w:trPr>
          <w:cantSplit/>
        </w:trPr>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Application</w:t>
            </w:r>
          </w:p>
        </w:tc>
        <w:tc>
          <w:tcPr>
            <w:tcW w:type="dxa" w:w="442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22 portals · 8 roles</w:t>
            </w:r>
          </w:p>
        </w:tc>
        <w:tc>
          <w:tcPr>
            <w:tcW w:type="dxa" w:w="351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Role-specific UAT still required</w:t>
            </w:r>
          </w:p>
        </w:tc>
      </w:tr>
      <w:tr>
        <w:trPr>
          <w:cantSplit/>
        </w:trPr>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API</w:t>
            </w:r>
          </w:p>
        </w:tc>
        <w:tc>
          <w:tcPr>
            <w:tcW w:type="dxa" w:w="442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17 route mounts · 160 detected endpoints</w:t>
            </w:r>
          </w:p>
        </w:tc>
        <w:tc>
          <w:tcPr>
            <w:tcW w:type="dxa" w:w="351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Detection is not contract approval</w:t>
            </w:r>
          </w:p>
        </w:tc>
      </w:tr>
      <w:tr>
        <w:trPr>
          <w:cantSplit/>
        </w:trPr>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Data</w:t>
            </w:r>
          </w:p>
        </w:tc>
        <w:tc>
          <w:tcPr>
            <w:tcW w:type="dxa" w:w="442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55 sequenced migrations through 055</w:t>
            </w:r>
          </w:p>
        </w:tc>
        <w:tc>
          <w:tcPr>
            <w:tcW w:type="dxa" w:w="351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Production migration/restore gate remains</w:t>
            </w:r>
          </w:p>
        </w:tc>
      </w:tr>
      <w:tr>
        <w:trPr>
          <w:cantSplit/>
        </w:trPr>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External writes</w:t>
            </w:r>
          </w:p>
        </w:tc>
        <w:tc>
          <w:tcPr>
            <w:tcW w:type="dxa" w:w="442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33 detected dbo writes · 2 TruckScale writes to tbl_keyone</w:t>
            </w:r>
          </w:p>
        </w:tc>
        <w:tc>
          <w:tcPr>
            <w:tcW w:type="dxa" w:w="351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Explicit contract/security review required</w:t>
            </w:r>
          </w:p>
        </w:tc>
      </w:tr>
      <w:tr>
        <w:trPr>
          <w:cantSplit/>
        </w:trPr>
        <w:tc>
          <w:tcPr>
            <w:tcW w:type="dxa" w:w="170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Automated E2E</w:t>
            </w:r>
          </w:p>
        </w:tc>
        <w:tc>
          <w:tcPr>
            <w:tcW w:type="dxa" w:w="442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10/10 passed · stable source · SQL Server/MySQL up</w:t>
            </w:r>
          </w:p>
        </w:tc>
        <w:tc>
          <w:tcPr>
            <w:tcW w:type="dxa" w:w="35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Not production hardware/manual UAT</w:t>
            </w:r>
          </w:p>
        </w:tc>
      </w:tr>
    </w:tbl>
    <w:tbl>
      <w:tblPr>
        <w:tblW w:type="auto" w:w="0"/>
        <w:jc w:val="center"/>
        <w:tblLayout w:type="fixed"/>
        <w:tblLook w:firstColumn="1" w:firstRow="1" w:lastColumn="0" w:lastRow="0" w:noHBand="0" w:noVBand="1" w:val="04A0"/>
        <w:tblBorders>
          <w:top w:val="single" w:sz="0" w:color="DDEEF3"/>
          <w:left w:val="single" w:sz="0" w:color="DDEEF3"/>
          <w:bottom w:val="single" w:sz="0" w:color="DDEEF3"/>
          <w:right w:val="single" w:sz="0" w:color="DDEEF3"/>
          <w:insideH w:val="single" w:sz="0" w:color="DDEEF3"/>
          <w:insideV w:val="single" w:sz="0" w:color="DDEEF3"/>
        </w:tblBorders>
      </w:tblPr>
      <w:tblGrid>
        <w:gridCol w:w="198"/>
        <w:gridCol w:w="9441"/>
      </w:tblGrid>
      <w:tr>
        <w:tc>
          <w:tcPr>
            <w:tcW w:type="dxa" w:w="198"/>
            <w:shd w:fill="1B6B88"/>
          </w:tcPr>
          <w:p>
            <w:r/>
          </w:p>
        </w:tc>
        <w:tc>
          <w:tcPr>
            <w:tcW w:type="dxa" w:w="9441"/>
            <w:shd w:fill="DDEEF3"/>
            <w:tcMar>
              <w:top w:w="120" w:type="dxa"/>
              <w:start w:w="140" w:type="dxa"/>
              <w:bottom w:w="120" w:type="dxa"/>
              <w:end w:w="140" w:type="dxa"/>
            </w:tcMar>
          </w:tcPr>
          <w:p>
            <w:pPr>
              <w:spacing w:after="0"/>
            </w:pPr>
            <w:r>
              <w:rPr>
                <w:rFonts w:ascii="Kanit" w:hAnsi="Kanit" w:eastAsia="Kanit" w:cs="Kanit"/>
                <w:b/>
                <w:color w:val="15334A"/>
                <w:sz w:val="19"/>
              </w:rPr>
              <w:t xml:space="preserve">Evidence interpretation  </w:t>
            </w:r>
            <w:r>
              <w:rPr>
                <w:rFonts w:ascii="Prompt" w:hAnsi="Prompt" w:eastAsia="Prompt" w:cs="Prompt"/>
                <w:b w:val="0"/>
                <w:color w:val="1C2730"/>
                <w:sz w:val="18"/>
              </w:rPr>
              <w:t>ตัวเลขจาก static inventory และ E2E ใช้เพื่อยืนยันความสอดคล้องกับ snapshot ปัจจุบันเท่านั้น การยอมรับ UAT, external write boundary, production readiness และ ISO conformance ต้องมีหลักฐานและผู้อนุมัติแยกต่างหาก.</w:t>
            </w:r>
          </w:p>
        </w:tc>
      </w:tr>
    </w:tbl>
    <w:p>
      <w:pPr>
        <w:spacing w:after="0" w:line="96" w:lineRule="auto"/>
      </w:pPr>
    </w:p>
    <w:p>
      <w:pPr>
        <w:pStyle w:val="Heading1"/>
        <w:keepNext/>
      </w:pPr>
      <w:r>
        <w:rPr>
          <w:rFonts w:ascii="Kanit" w:hAnsi="Kanit" w:eastAsia="Kanit" w:cs="Kanit"/>
          <w:b/>
          <w:color w:val="15334A"/>
          <w:sz w:val="34"/>
        </w:rPr>
        <w:t>Standards alignment</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268"/>
        <w:gridCol w:w="4876"/>
        <w:gridCol w:w="2495"/>
      </w:tblGrid>
      <w:tr>
        <w:trPr>
          <w:tblHeader w:val="true"/>
          <w:cantSplit/>
        </w:trPr>
        <w:tc>
          <w:tcPr>
            <w:tcW w:type="dxa" w:w="226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Reference</w:t>
            </w:r>
          </w:p>
        </w:tc>
        <w:tc>
          <w:tcPr>
            <w:tcW w:type="dxa" w:w="487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Use in this information set</w:t>
            </w:r>
          </w:p>
        </w:tc>
        <w:tc>
          <w:tcPr>
            <w:tcW w:type="dxa" w:w="249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Current document</w:t>
            </w:r>
          </w:p>
        </w:tc>
      </w:tr>
      <w:tr>
        <w:trPr>
          <w:cantSplit/>
        </w:trPr>
        <w:tc>
          <w:tcPr>
            <w:tcW w:type="dxa" w:w="22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ISO/IEC/IEEE 42010:2022</w:t>
            </w:r>
          </w:p>
        </w:tc>
        <w:tc>
          <w:tcPr>
            <w:tcW w:type="dxa" w:w="487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Technical views and decision correspondence</w:t>
            </w:r>
          </w:p>
        </w:tc>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Architecture linkage</w:t>
            </w:r>
          </w:p>
        </w:tc>
      </w:tr>
      <w:tr>
        <w:trPr>
          <w:cantSplit/>
        </w:trPr>
        <w:tc>
          <w:tcPr>
            <w:tcW w:type="dxa" w:w="22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ISO/IEC/IEEE 29148:2018</w:t>
            </w:r>
          </w:p>
        </w:tc>
        <w:tc>
          <w:tcPr>
            <w:tcW w:type="dxa" w:w="487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Technical and interface requirement traceability</w:t>
            </w:r>
          </w:p>
        </w:tc>
        <w:tc>
          <w:tcPr>
            <w:tcW w:type="dxa" w:w="24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Contract linkage</w:t>
            </w:r>
          </w:p>
        </w:tc>
      </w:tr>
      <w:tr>
        <w:trPr>
          <w:cantSplit/>
        </w:trPr>
        <w:tc>
          <w:tcPr>
            <w:tcW w:type="dxa" w:w="22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ISO/IEC 27001:2022</w:t>
            </w:r>
          </w:p>
        </w:tc>
        <w:tc>
          <w:tcPr>
            <w:tcW w:type="dxa" w:w="487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Security-control context and objective evidence</w:t>
            </w:r>
          </w:p>
        </w:tc>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Security section</w:t>
            </w:r>
          </w:p>
        </w:tc>
      </w:tr>
      <w:tr>
        <w:trPr>
          <w:cantSplit/>
        </w:trPr>
        <w:tc>
          <w:tcPr>
            <w:tcW w:type="dxa" w:w="22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ISO/IEC/IEEE 12207:2026</w:t>
            </w:r>
          </w:p>
        </w:tc>
        <w:tc>
          <w:tcPr>
            <w:tcW w:type="dxa" w:w="487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Life-cycle processes, reviews and evidence flow</w:t>
            </w:r>
          </w:p>
        </w:tc>
        <w:tc>
          <w:tcPr>
            <w:tcW w:type="dxa" w:w="24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Development information set</w:t>
            </w:r>
          </w:p>
        </w:tc>
      </w:tr>
      <w:tr>
        <w:trPr>
          <w:cantSplit/>
        </w:trPr>
        <w:tc>
          <w:tcPr>
            <w:tcW w:type="dxa" w:w="22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ISO/IEC/IEEE 15289:2019</w:t>
            </w:r>
          </w:p>
        </w:tc>
        <w:tc>
          <w:tcPr>
            <w:tcW w:type="dxa" w:w="487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Information-item content and document control</w:t>
            </w:r>
          </w:p>
        </w:tc>
        <w:tc>
          <w:tcPr>
            <w:tcW w:type="dxa" w:w="24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Front matter / source register</w:t>
            </w:r>
          </w:p>
        </w:tc>
      </w:tr>
      <w:tr>
        <w:trPr>
          <w:cantSplit/>
        </w:trPr>
        <w:tc>
          <w:tcPr>
            <w:tcW w:type="dxa" w:w="22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ISO/IEC 25010:2023</w:t>
            </w:r>
          </w:p>
        </w:tc>
        <w:tc>
          <w:tcPr>
            <w:tcW w:type="dxa" w:w="487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Product quality characteristics and verification concerns</w:t>
            </w:r>
          </w:p>
        </w:tc>
        <w:tc>
          <w:tcPr>
            <w:tcW w:type="dxa" w:w="24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NFR / architecture / technical gates</w:t>
            </w:r>
          </w:p>
        </w:tc>
      </w:tr>
      <w:tr>
        <w:trPr>
          <w:cantSplit/>
        </w:trPr>
        <w:tc>
          <w:tcPr>
            <w:tcW w:type="dxa" w:w="226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ISO/IEC/IEEE 29119-3:2021</w:t>
            </w:r>
          </w:p>
        </w:tc>
        <w:tc>
          <w:tcPr>
            <w:tcW w:type="dxa" w:w="487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Test documentation, cases, results and traceability</w:t>
            </w:r>
          </w:p>
        </w:tc>
        <w:tc>
          <w:tcPr>
            <w:tcW w:type="dxa" w:w="249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Verification and UAT linkage</w:t>
            </w:r>
          </w:p>
        </w:tc>
      </w:tr>
    </w:tbl>
    <w:p>
      <w:pPr>
        <w:pStyle w:val="Heading1"/>
        <w:keepNext/>
      </w:pPr>
      <w:r>
        <w:rPr>
          <w:rFonts w:ascii="Kanit" w:hAnsi="Kanit" w:eastAsia="Kanit" w:cs="Kanit"/>
          <w:b/>
          <w:color w:val="15334A"/>
          <w:sz w:val="34"/>
        </w:rPr>
        <w:t>Audience and reading path</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984"/>
        <w:gridCol w:w="4026"/>
        <w:gridCol w:w="3629"/>
      </w:tblGrid>
      <w:tr>
        <w:trPr>
          <w:tblHeader w:val="true"/>
          <w:cantSplit/>
        </w:trPr>
        <w:tc>
          <w:tcPr>
            <w:tcW w:type="dxa" w:w="198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Audience</w:t>
            </w:r>
          </w:p>
        </w:tc>
        <w:tc>
          <w:tcPr>
            <w:tcW w:type="dxa" w:w="402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Primary concern</w:t>
            </w:r>
          </w:p>
        </w:tc>
        <w:tc>
          <w:tcPr>
            <w:tcW w:type="dxa" w:w="362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Recommended sections</w:t>
            </w:r>
          </w:p>
        </w:tc>
      </w:tr>
      <w:tr>
        <w:trPr>
          <w:cantSplit/>
        </w:trPr>
        <w:tc>
          <w:tcPr>
            <w:tcW w:type="dxa" w:w="198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Developer / reviewer</w:t>
            </w:r>
          </w:p>
        </w:tc>
        <w:tc>
          <w:tcPr>
            <w:tcW w:type="dxa" w:w="402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runtime contract and source responsibility</w:t>
            </w:r>
          </w:p>
        </w:tc>
        <w:tc>
          <w:tcPr>
            <w:tcW w:type="dxa" w:w="362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Components, API, data, integration</w:t>
            </w:r>
          </w:p>
        </w:tc>
      </w:tr>
      <w:tr>
        <w:trPr>
          <w:cantSplit/>
        </w:trPr>
        <w:tc>
          <w:tcPr>
            <w:tcW w:type="dxa" w:w="198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DBA / integration owner</w:t>
            </w:r>
          </w:p>
        </w:tc>
        <w:tc>
          <w:tcPr>
            <w:tcW w:type="dxa" w:w="402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transactions, migration and external writes</w:t>
            </w:r>
          </w:p>
        </w:tc>
        <w:tc>
          <w:tcPr>
            <w:tcW w:type="dxa" w:w="362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Database and integration contracts</w:t>
            </w:r>
          </w:p>
        </w:tc>
      </w:tr>
      <w:tr>
        <w:trPr>
          <w:cantSplit/>
        </w:trPr>
        <w:tc>
          <w:tcPr>
            <w:tcW w:type="dxa" w:w="198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Security / DevOps</w:t>
            </w:r>
          </w:p>
        </w:tc>
        <w:tc>
          <w:tcPr>
            <w:tcW w:type="dxa" w:w="402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deployment, secrets, logging, backup and recovery</w:t>
            </w:r>
          </w:p>
        </w:tc>
        <w:tc>
          <w:tcPr>
            <w:tcW w:type="dxa" w:w="362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Security and operations</w:t>
            </w:r>
          </w:p>
        </w:tc>
      </w:tr>
      <w:tr>
        <w:trPr>
          <w:cantSplit/>
        </w:trPr>
        <w:tc>
          <w:tcPr>
            <w:tcW w:type="dxa" w:w="198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QA / audit</w:t>
            </w:r>
          </w:p>
        </w:tc>
        <w:tc>
          <w:tcPr>
            <w:tcW w:type="dxa" w:w="402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verification coverage and objective evidence</w:t>
            </w:r>
          </w:p>
        </w:tc>
        <w:tc>
          <w:tcPr>
            <w:tcW w:type="dxa" w:w="3629"/>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Test strategy, evidence register, open gates</w:t>
            </w:r>
          </w:p>
        </w:tc>
      </w:tr>
    </w:tbl>
    <w:p>
      <w:pPr>
        <w:pStyle w:val="Heading1"/>
        <w:keepNext/>
      </w:pPr>
      <w:r>
        <w:rPr>
          <w:rFonts w:ascii="Kanit" w:hAnsi="Kanit" w:eastAsia="Kanit" w:cs="Kanit"/>
          <w:b/>
          <w:color w:val="15334A"/>
          <w:sz w:val="34"/>
        </w:rPr>
        <w:t>Table of contents</w:t>
      </w:r>
    </w:p>
    <w:p>
      <w:r>
        <w:rPr>
          <w:rFonts w:ascii="Prompt" w:hAnsi="Prompt" w:eastAsia="Prompt" w:cs="Prompt"/>
          <w:color w:val="5B6872"/>
          <w:sz w:val="16"/>
        </w:rPr>
        <w:fldChar w:fldCharType="begin"/>
        <w:instrText xml:space="preserve">TOC \o "1-3" \h \z \u</w:instrText>
        <w:fldChar w:fldCharType="separate"/>
        <w:t>Update field in Word to refresh the table of contents</w:t>
        <w:fldChar w:fldCharType="end"/>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Word field  </w:t>
            </w:r>
            <w:r>
              <w:rPr>
                <w:rFonts w:ascii="Prompt" w:hAnsi="Prompt" w:eastAsia="Prompt" w:cs="Prompt"/>
                <w:b w:val="0"/>
                <w:color w:val="1C2730"/>
                <w:sz w:val="18"/>
              </w:rPr>
              <w:t>เปิดเอกสารใน Microsoft Word แล้วกด Ctrl+A และ F9 เพื่อ refresh สารบัญและจำนวนหน้า.</w:t>
            </w:r>
          </w:p>
        </w:tc>
      </w:tr>
    </w:tbl>
    <w:p>
      <w:pPr>
        <w:spacing w:after="0" w:line="96" w:lineRule="auto"/>
      </w:pPr>
    </w:p>
    <w:p>
      <w:r>
        <w:br w:type="page"/>
      </w:r>
    </w:p>
    <w:p>
      <w:pPr>
        <w:pStyle w:val="Heading1"/>
        <w:keepNext/>
      </w:pPr>
      <w:r>
        <w:rPr>
          <w:rFonts w:ascii="Kanit" w:hAnsi="Kanit" w:eastAsia="Kanit" w:cs="Kanit"/>
          <w:b/>
          <w:color w:val="15334A"/>
          <w:sz w:val="34"/>
        </w:rPr>
        <w:t>Source-aligned diagrams</w:t>
      </w:r>
    </w:p>
    <w:tbl>
      <w:tblPr>
        <w:tblW w:type="auto" w:w="0"/>
        <w:jc w:val="center"/>
        <w:tblLayout w:type="fixed"/>
        <w:tblLook w:firstColumn="1" w:firstRow="1" w:lastColumn="0" w:lastRow="0" w:noHBand="0" w:noVBand="1" w:val="04A0"/>
        <w:tblBorders>
          <w:top w:val="single" w:sz="0" w:color="DDEEF3"/>
          <w:left w:val="single" w:sz="0" w:color="DDEEF3"/>
          <w:bottom w:val="single" w:sz="0" w:color="DDEEF3"/>
          <w:right w:val="single" w:sz="0" w:color="DDEEF3"/>
          <w:insideH w:val="single" w:sz="0" w:color="DDEEF3"/>
          <w:insideV w:val="single" w:sz="0" w:color="DDEEF3"/>
        </w:tblBorders>
      </w:tblPr>
      <w:tblGrid>
        <w:gridCol w:w="198"/>
        <w:gridCol w:w="9441"/>
      </w:tblGrid>
      <w:tr>
        <w:tc>
          <w:tcPr>
            <w:tcW w:type="dxa" w:w="198"/>
            <w:shd w:fill="1B6B88"/>
          </w:tcPr>
          <w:p>
            <w:r/>
          </w:p>
        </w:tc>
        <w:tc>
          <w:tcPr>
            <w:tcW w:type="dxa" w:w="9441"/>
            <w:shd w:fill="DDEEF3"/>
            <w:tcMar>
              <w:top w:w="120" w:type="dxa"/>
              <w:start w:w="140" w:type="dxa"/>
              <w:bottom w:w="120" w:type="dxa"/>
              <w:end w:w="140" w:type="dxa"/>
            </w:tcMar>
          </w:tcPr>
          <w:p>
            <w:pPr>
              <w:spacing w:after="0"/>
            </w:pPr>
            <w:r>
              <w:rPr>
                <w:rFonts w:ascii="Kanit" w:hAnsi="Kanit" w:eastAsia="Kanit" w:cs="Kanit"/>
                <w:b/>
                <w:color w:val="15334A"/>
                <w:sz w:val="19"/>
              </w:rPr>
              <w:t xml:space="preserve">Diagram policy  </w:t>
            </w:r>
            <w:r>
              <w:rPr>
                <w:rFonts w:ascii="Prompt" w:hAnsi="Prompt" w:eastAsia="Prompt" w:cs="Prompt"/>
                <w:b w:val="0"/>
                <w:color w:val="1C2730"/>
                <w:sz w:val="18"/>
              </w:rPr>
              <w:t>ภาพในส่วนนี้สร้างจาก Mermaid source ที่ version-control ได้และ render ใหม่ด้วย Prompt/Kanit policy; แหล่ง Markdown ยังคงเป็นข้อมูลอ้างอิงและภาพต้องผ่าน visual QA ก่อน release.</w:t>
            </w:r>
          </w:p>
        </w:tc>
      </w:tr>
    </w:tbl>
    <w:p>
      <w:pPr>
        <w:spacing w:after="0" w:line="96" w:lineRule="auto"/>
      </w:pPr>
    </w:p>
    <w:p>
      <w:pPr>
        <w:keepNext/>
        <w:jc w:val="center"/>
      </w:pPr>
      <w:r>
        <w:drawing>
          <wp:inline xmlns:a="http://schemas.openxmlformats.org/drawingml/2006/main" xmlns:pic="http://schemas.openxmlformats.org/drawingml/2006/picture">
            <wp:extent cx="5976000" cy="1316001"/>
            <wp:docPr id="2" name="Picture 2" descr="ภาพที่ 1 — Runtime components and integration boundaries" title="ภาพที่ 1 — Runtime components and integration boundaries"/>
            <wp:cNvGraphicFramePr>
              <a:graphicFrameLocks noChangeAspect="1"/>
            </wp:cNvGraphicFramePr>
            <a:graphic>
              <a:graphicData uri="http://schemas.openxmlformats.org/drawingml/2006/picture">
                <pic:pic>
                  <pic:nvPicPr>
                    <pic:cNvPr id="0" name="13-runtime-architecture.png"/>
                    <pic:cNvPicPr/>
                  </pic:nvPicPr>
                  <pic:blipFill>
                    <a:blip r:embed="rId11"/>
                    <a:stretch>
                      <a:fillRect/>
                    </a:stretch>
                  </pic:blipFill>
                  <pic:spPr>
                    <a:xfrm>
                      <a:off x="0" y="0"/>
                      <a:ext cx="5976000" cy="1316001"/>
                    </a:xfrm>
                    <a:prstGeom prst="rect"/>
                  </pic:spPr>
                </pic:pic>
              </a:graphicData>
            </a:graphic>
          </wp:inline>
        </w:drawing>
      </w:r>
    </w:p>
    <w:p>
      <w:pPr>
        <w:spacing w:after="120"/>
        <w:jc w:val="center"/>
      </w:pPr>
      <w:r>
        <w:rPr>
          <w:rFonts w:ascii="Prompt" w:hAnsi="Prompt" w:eastAsia="Prompt" w:cs="Prompt"/>
          <w:b w:val="0"/>
          <w:i/>
          <w:color w:val="5B6872"/>
          <w:sz w:val="16"/>
        </w:rPr>
        <w:t>ภาพที่ 1 — Runtime components and integration boundaries</w:t>
      </w:r>
    </w:p>
    <w:p>
      <w:pPr>
        <w:keepNext/>
        <w:jc w:val="center"/>
      </w:pPr>
      <w:r>
        <w:drawing>
          <wp:inline xmlns:a="http://schemas.openxmlformats.org/drawingml/2006/main" xmlns:pic="http://schemas.openxmlformats.org/drawingml/2006/picture">
            <wp:extent cx="5976000" cy="2803427"/>
            <wp:docPr id="3" name="Picture 3" descr="ภาพที่ 2 — Current API surface: 17 route mounts / 160 endpoints" title="ภาพที่ 2 — Current API surface: 17 route mounts / 160 endpoints"/>
            <wp:cNvGraphicFramePr>
              <a:graphicFrameLocks noChangeAspect="1"/>
            </wp:cNvGraphicFramePr>
            <a:graphic>
              <a:graphicData uri="http://schemas.openxmlformats.org/drawingml/2006/picture">
                <pic:pic>
                  <pic:nvPicPr>
                    <pic:cNvPr id="0" name="10-current-api-surface.png"/>
                    <pic:cNvPicPr/>
                  </pic:nvPicPr>
                  <pic:blipFill>
                    <a:blip r:embed="rId12"/>
                    <a:stretch>
                      <a:fillRect/>
                    </a:stretch>
                  </pic:blipFill>
                  <pic:spPr>
                    <a:xfrm>
                      <a:off x="0" y="0"/>
                      <a:ext cx="5976000" cy="2803427"/>
                    </a:xfrm>
                    <a:prstGeom prst="rect"/>
                  </pic:spPr>
                </pic:pic>
              </a:graphicData>
            </a:graphic>
          </wp:inline>
        </w:drawing>
      </w:r>
    </w:p>
    <w:p>
      <w:pPr>
        <w:spacing w:after="120"/>
        <w:jc w:val="center"/>
      </w:pPr>
      <w:r>
        <w:rPr>
          <w:rFonts w:ascii="Prompt" w:hAnsi="Prompt" w:eastAsia="Prompt" w:cs="Prompt"/>
          <w:b w:val="0"/>
          <w:i/>
          <w:color w:val="5B6872"/>
          <w:sz w:val="16"/>
        </w:rPr>
        <w:t>ภาพที่ 2 — Current API surface: 17 route mounts / 160 endpoints</w:t>
      </w:r>
    </w:p>
    <w:p>
      <w:pPr>
        <w:keepNext/>
        <w:jc w:val="center"/>
      </w:pPr>
      <w:r>
        <w:drawing>
          <wp:inline xmlns:a="http://schemas.openxmlformats.org/drawingml/2006/main" xmlns:pic="http://schemas.openxmlformats.org/drawingml/2006/picture">
            <wp:extent cx="5976000" cy="2193776"/>
            <wp:docPr id="4" name="Picture 4" descr="ภาพที่ 3 — Core operational data relationships" title="ภาพที่ 3 — Core operational data relationships"/>
            <wp:cNvGraphicFramePr>
              <a:graphicFrameLocks noChangeAspect="1"/>
            </wp:cNvGraphicFramePr>
            <a:graphic>
              <a:graphicData uri="http://schemas.openxmlformats.org/drawingml/2006/picture">
                <pic:pic>
                  <pic:nvPicPr>
                    <pic:cNvPr id="0" name="15-operational-erd.png"/>
                    <pic:cNvPicPr/>
                  </pic:nvPicPr>
                  <pic:blipFill>
                    <a:blip r:embed="rId13"/>
                    <a:stretch>
                      <a:fillRect/>
                    </a:stretch>
                  </pic:blipFill>
                  <pic:spPr>
                    <a:xfrm>
                      <a:off x="0" y="0"/>
                      <a:ext cx="5976000" cy="2193776"/>
                    </a:xfrm>
                    <a:prstGeom prst="rect"/>
                  </pic:spPr>
                </pic:pic>
              </a:graphicData>
            </a:graphic>
          </wp:inline>
        </w:drawing>
      </w:r>
    </w:p>
    <w:p>
      <w:pPr>
        <w:spacing w:after="120"/>
        <w:jc w:val="center"/>
      </w:pPr>
      <w:r>
        <w:rPr>
          <w:rFonts w:ascii="Prompt" w:hAnsi="Prompt" w:eastAsia="Prompt" w:cs="Prompt"/>
          <w:b w:val="0"/>
          <w:i/>
          <w:color w:val="5B6872"/>
          <w:sz w:val="16"/>
        </w:rPr>
        <w:t>ภาพที่ 3 — Core operational data relationships</w:t>
      </w:r>
    </w:p>
    <w:p>
      <w:pPr>
        <w:keepNext/>
        <w:jc w:val="center"/>
      </w:pPr>
      <w:r>
        <w:drawing>
          <wp:inline xmlns:a="http://schemas.openxmlformats.org/drawingml/2006/main" xmlns:pic="http://schemas.openxmlformats.org/drawingml/2006/picture">
            <wp:extent cx="5976000" cy="1670678"/>
            <wp:docPr id="5" name="Picture 5" descr="ภาพที่ 4 — Source-to-document evidence flow and approval boundary" title="ภาพที่ 4 — Source-to-document evidence flow and approval boundary"/>
            <wp:cNvGraphicFramePr>
              <a:graphicFrameLocks noChangeAspect="1"/>
            </wp:cNvGraphicFramePr>
            <a:graphic>
              <a:graphicData uri="http://schemas.openxmlformats.org/drawingml/2006/picture">
                <pic:pic>
                  <pic:nvPicPr>
                    <pic:cNvPr id="0" name="11-document-evidence-flow.png"/>
                    <pic:cNvPicPr/>
                  </pic:nvPicPr>
                  <pic:blipFill>
                    <a:blip r:embed="rId14"/>
                    <a:stretch>
                      <a:fillRect/>
                    </a:stretch>
                  </pic:blipFill>
                  <pic:spPr>
                    <a:xfrm>
                      <a:off x="0" y="0"/>
                      <a:ext cx="5976000" cy="1670678"/>
                    </a:xfrm>
                    <a:prstGeom prst="rect"/>
                  </pic:spPr>
                </pic:pic>
              </a:graphicData>
            </a:graphic>
          </wp:inline>
        </w:drawing>
      </w:r>
    </w:p>
    <w:p>
      <w:pPr>
        <w:spacing w:after="120"/>
        <w:jc w:val="center"/>
      </w:pPr>
      <w:r>
        <w:rPr>
          <w:rFonts w:ascii="Prompt" w:hAnsi="Prompt" w:eastAsia="Prompt" w:cs="Prompt"/>
          <w:b w:val="0"/>
          <w:i/>
          <w:color w:val="5B6872"/>
          <w:sz w:val="16"/>
        </w:rPr>
        <w:t>ภาพที่ 4 — Source-to-document evidence flow and approval boundary</w:t>
      </w:r>
    </w:p>
    <w:p>
      <w:r>
        <w:br w:type="page"/>
      </w:r>
    </w:p>
    <w:p>
      <w:pPr>
        <w:pStyle w:val="Heading1"/>
        <w:keepNext/>
      </w:pPr>
      <w:r>
        <w:rPr>
          <w:rFonts w:ascii="Kanit" w:hAnsi="Kanit" w:eastAsia="Kanit" w:cs="Kanit"/>
          <w:b/>
          <w:color w:val="15334A"/>
          <w:sz w:val="34"/>
        </w:rPr>
        <w:t>Technical Specification — Runtime 1.0.1 Candidate</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docs/enterprise/03-SOLUTION-ARCHITECTURE/TECHNICAL-SPECIFICATION.md · SHA-256 3B973BA9DD623E8DA9BCC83A7391FB718BFDFB5AC0ABE420936360A66960871F · merged as Review content</w:t>
            </w:r>
          </w:p>
        </w:tc>
      </w:tr>
    </w:tbl>
    <w:p>
      <w:pPr>
        <w:spacing w:after="0" w:line="96" w:lineRule="auto"/>
      </w:pP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1B6B88"/>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Source note  </w:t>
            </w:r>
            <w:r>
              <w:rPr>
                <w:rFonts w:ascii="Prompt" w:hAnsi="Prompt" w:eastAsia="Prompt" w:cs="Prompt"/>
                <w:b w:val="0"/>
                <w:color w:val="1C2730"/>
                <w:sz w:val="18"/>
              </w:rPr>
              <w:t>เอกสารนี้สรุป technical contract จาก source code และ Markdown ล่าสุดตามนโยบาย latest-document-wins. ตัวเลข inventory เป็นผลตรวจอัตโนมัติ ไม่ใช่การอนุมัติ production, security หรือ external write boundary.</w:t>
            </w:r>
          </w:p>
        </w:tc>
      </w:tr>
    </w:tbl>
    <w:p>
      <w:pPr>
        <w:spacing w:after="0" w:line="96" w:lineRule="auto"/>
      </w:pPr>
    </w:p>
    <w:p>
      <w:pPr>
        <w:pStyle w:val="Heading3"/>
        <w:keepNext/>
      </w:pPr>
      <w:r>
        <w:rPr>
          <w:rFonts w:ascii="Kanit" w:hAnsi="Kanit" w:eastAsia="Kanit" w:cs="Kanit"/>
          <w:b/>
          <w:color w:val="2B8C82"/>
          <w:sz w:val="23"/>
        </w:rPr>
        <w:t>1. Scope and technical objectives</w:t>
      </w:r>
    </w:p>
    <w:p>
      <w:pPr>
        <w:spacing w:after="60"/>
      </w:pPr>
      <w:r>
        <w:rPr>
          <w:rFonts w:ascii="Prompt" w:hAnsi="Prompt" w:eastAsia="Prompt" w:cs="Prompt"/>
          <w:i w:val="0"/>
          <w:color w:val="1C2730"/>
          <w:sz w:val="18"/>
        </w:rPr>
        <w:t>Technical specification นี้กำหนดขอบเขต runtime, component responsibilities, API/data/integration contracts, security controls, deployment/operations และ verification evidence ที่ใช้พัฒนา ทดสอบ ส่งมอบ และดูแล WS-Sale-App</w:t>
      </w:r>
    </w:p>
    <w:p>
      <w:pPr>
        <w:pStyle w:val="ListBullet"/>
        <w:spacing w:after="40"/>
      </w:pPr>
      <w:r>
        <w:rPr>
          <w:rFonts w:ascii="Prompt" w:hAnsi="Prompt" w:eastAsia="Prompt" w:cs="Prompt"/>
          <w:color w:val="1C2730"/>
          <w:sz w:val="18"/>
        </w:rPr>
        <w:t>ควบคุม Sales Order, warehouse execution, weighing, rebate, giveaway, paper custody และ reconciliation โดยไม่แทนบทบาทบัญชีของ WINSpeed</w:t>
      </w:r>
    </w:p>
    <w:p>
      <w:pPr>
        <w:pStyle w:val="ListBullet"/>
        <w:spacing w:after="40"/>
      </w:pPr>
      <w:r>
        <w:rPr>
          <w:rFonts w:ascii="Prompt" w:hAnsi="Prompt" w:eastAsia="Prompt" w:cs="Prompt"/>
          <w:color w:val="1C2730"/>
          <w:sz w:val="18"/>
        </w:rPr>
        <w:t>รักษา traceability จาก requirement → architecture/decision → source → test → retained evidence</w:t>
      </w:r>
    </w:p>
    <w:p>
      <w:pPr>
        <w:pStyle w:val="ListBullet"/>
        <w:spacing w:after="40"/>
      </w:pPr>
      <w:r>
        <w:rPr>
          <w:rFonts w:ascii="Prompt" w:hAnsi="Prompt" w:eastAsia="Prompt" w:cs="Prompt"/>
          <w:color w:val="1C2730"/>
          <w:sz w:val="18"/>
        </w:rPr>
        <w:t>ทำให้การเปลี่ยน source หรือ Markdown ตรวจพบก่อนสร้างเอกสารและไม่ทำให้ candidate เก่าถูกมองเป็น baseline</w:t>
      </w:r>
    </w:p>
    <w:p>
      <w:pPr>
        <w:pStyle w:val="ListBullet"/>
        <w:spacing w:after="40"/>
      </w:pPr>
      <w:r>
        <w:rPr>
          <w:rFonts w:ascii="Prompt" w:hAnsi="Prompt" w:eastAsia="Prompt" w:cs="Prompt"/>
          <w:color w:val="1C2730"/>
          <w:sz w:val="18"/>
        </w:rPr>
        <w:t>แยก automated development evidence ออกจาก manual UAT, production integration และ go-live acceptance อย่างชัดเจน</w:t>
      </w:r>
    </w:p>
    <w:p>
      <w:pPr>
        <w:pStyle w:val="Heading3"/>
        <w:keepNext/>
      </w:pPr>
      <w:r>
        <w:rPr>
          <w:rFonts w:ascii="Kanit" w:hAnsi="Kanit" w:eastAsia="Kanit" w:cs="Kanit"/>
          <w:b/>
          <w:color w:val="2B8C82"/>
          <w:sz w:val="23"/>
        </w:rPr>
        <w:t>2. Runtime and source inventory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973"/>
        <w:gridCol w:w="4570"/>
        <w:gridCol w:w="3096"/>
      </w:tblGrid>
      <w:tr>
        <w:trPr>
          <w:tblHeader w:val="true"/>
          <w:cantSplit/>
        </w:trPr>
        <w:tc>
          <w:tcPr>
            <w:tcW w:type="dxa" w:w="197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Technical item</w:t>
            </w:r>
          </w:p>
        </w:tc>
        <w:tc>
          <w:tcPr>
            <w:tcW w:type="dxa" w:w="457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Current fact</w:t>
            </w:r>
          </w:p>
        </w:tc>
        <w:tc>
          <w:tcPr>
            <w:tcW w:type="dxa" w:w="309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Verification source</w:t>
            </w:r>
          </w:p>
        </w:tc>
      </w:tr>
      <w:tr>
        <w:trPr>
          <w:cantSplit/>
        </w:trPr>
        <w:tc>
          <w:tcPr>
            <w:tcW w:type="dxa" w:w="19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Package version</w:t>
            </w:r>
          </w:p>
        </w:tc>
        <w:tc>
          <w:tcPr>
            <w:tcW w:type="dxa" w:w="457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1.0.1 across root, backend and frontend packages</w:t>
            </w:r>
          </w:p>
        </w:tc>
        <w:tc>
          <w:tcPr>
            <w:tcW w:type="dxa" w:w="309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source alignment report</w:t>
            </w:r>
          </w:p>
        </w:tc>
      </w:tr>
      <w:tr>
        <w:trPr>
          <w:cantSplit/>
        </w:trPr>
        <w:tc>
          <w:tcPr>
            <w:tcW w:type="dxa" w:w="197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Source inventory</w:t>
            </w:r>
          </w:p>
        </w:tc>
        <w:tc>
          <w:tcPr>
            <w:tcW w:type="dxa" w:w="457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220 tracked source/runtime files</w:t>
            </w:r>
          </w:p>
        </w:tc>
        <w:tc>
          <w:tcPr>
            <w:tcW w:type="dxa" w:w="309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source alignment report</w:t>
            </w:r>
          </w:p>
        </w:tc>
      </w:tr>
      <w:tr>
        <w:trPr>
          <w:cantSplit/>
        </w:trPr>
        <w:tc>
          <w:tcPr>
            <w:tcW w:type="dxa" w:w="19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Frontend navigation</w:t>
            </w:r>
          </w:p>
        </w:tc>
        <w:tc>
          <w:tcPr>
            <w:tcW w:type="dxa" w:w="457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22 portal keys</w:t>
            </w:r>
          </w:p>
        </w:tc>
        <w:tc>
          <w:tcPr>
            <w:tcW w:type="dxa" w:w="309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WSSale-App/src/App.tsx and portal components</w:t>
            </w:r>
          </w:p>
        </w:tc>
      </w:tr>
      <w:tr>
        <w:trPr>
          <w:cantSplit/>
        </w:trPr>
        <w:tc>
          <w:tcPr>
            <w:tcW w:type="dxa" w:w="197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Access roles</w:t>
            </w:r>
          </w:p>
        </w:tc>
        <w:tc>
          <w:tcPr>
            <w:tcW w:type="dxa" w:w="457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8 roles: ADMIN, SALES, COUNTER_SALES, WAREHOUSE, ACCOUNTING, MANAGER, APPROVER, WEIGHBRIDGE</w:t>
            </w:r>
          </w:p>
        </w:tc>
        <w:tc>
          <w:tcPr>
            <w:tcW w:type="dxa" w:w="309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auth/permission source</w:t>
            </w:r>
          </w:p>
        </w:tc>
      </w:tr>
      <w:tr>
        <w:trPr>
          <w:cantSplit/>
        </w:trPr>
        <w:tc>
          <w:tcPr>
            <w:tcW w:type="dxa" w:w="19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API surface</w:t>
            </w:r>
          </w:p>
        </w:tc>
        <w:tc>
          <w:tcPr>
            <w:tcW w:type="dxa" w:w="457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17 route mounts / 160 detected endpoints</w:t>
            </w:r>
          </w:p>
        </w:tc>
        <w:tc>
          <w:tcPr>
            <w:tcW w:type="dxa" w:w="309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backend/server.js, backend/routes/</w:t>
            </w:r>
          </w:p>
        </w:tc>
      </w:tr>
      <w:tr>
        <w:trPr>
          <w:cantSplit/>
        </w:trPr>
        <w:tc>
          <w:tcPr>
            <w:tcW w:type="dxa" w:w="197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Database migrations</w:t>
            </w:r>
          </w:p>
        </w:tc>
        <w:tc>
          <w:tcPr>
            <w:tcW w:type="dxa" w:w="457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55 sequenced files through 055</w:t>
            </w:r>
          </w:p>
        </w:tc>
        <w:tc>
          <w:tcPr>
            <w:tcW w:type="dxa" w:w="309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backend/migrations/</w:t>
            </w:r>
          </w:p>
        </w:tc>
      </w:tr>
      <w:tr>
        <w:trPr>
          <w:cantSplit/>
        </w:trPr>
        <w:tc>
          <w:tcPr>
            <w:tcW w:type="dxa" w:w="19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Deployment scope</w:t>
            </w:r>
          </w:p>
        </w:tc>
        <w:tc>
          <w:tcPr>
            <w:tcW w:type="dxa" w:w="457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root deployment files plus deploy/coolify compose and backup script</w:t>
            </w:r>
          </w:p>
        </w:tc>
        <w:tc>
          <w:tcPr>
            <w:tcW w:type="dxa" w:w="309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deployment source set</w:t>
            </w:r>
          </w:p>
        </w:tc>
      </w:tr>
      <w:tr>
        <w:trPr>
          <w:cantSplit/>
        </w:trPr>
        <w:tc>
          <w:tcPr>
            <w:tcW w:type="dxa" w:w="197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Current automated test</w:t>
            </w:r>
          </w:p>
        </w:tc>
        <w:tc>
          <w:tcPr>
            <w:tcW w:type="dxa" w:w="45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run 2026-07-23T09-56-59-217Z, 10/10 passed, source stable</w:t>
            </w:r>
          </w:p>
        </w:tc>
        <w:tc>
          <w:tcPr>
            <w:tcW w:type="dxa" w:w="309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test-results/e2e-evidence.json</w:t>
            </w:r>
          </w:p>
        </w:tc>
      </w:tr>
    </w:tbl>
    <w:p>
      <w:pPr>
        <w:pStyle w:val="Heading3"/>
        <w:keepNext/>
      </w:pPr>
      <w:r>
        <w:rPr>
          <w:rFonts w:ascii="Kanit" w:hAnsi="Kanit" w:eastAsia="Kanit" w:cs="Kanit"/>
          <w:b/>
          <w:color w:val="2B8C82"/>
          <w:sz w:val="23"/>
        </w:rPr>
        <w:t>3. Technology and component responsibilities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149"/>
        <w:gridCol w:w="3334"/>
        <w:gridCol w:w="4156"/>
      </w:tblGrid>
      <w:tr>
        <w:trPr>
          <w:tblHeader w:val="true"/>
          <w:cantSplit/>
        </w:trPr>
        <w:tc>
          <w:tcPr>
            <w:tcW w:type="dxa" w:w="214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Layer</w:t>
            </w:r>
          </w:p>
        </w:tc>
        <w:tc>
          <w:tcPr>
            <w:tcW w:type="dxa" w:w="333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Technology / component</w:t>
            </w:r>
          </w:p>
        </w:tc>
        <w:tc>
          <w:tcPr>
            <w:tcW w:type="dxa" w:w="415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Responsibility</w:t>
            </w:r>
          </w:p>
        </w:tc>
      </w:tr>
      <w:tr>
        <w:trPr>
          <w:cantSplit/>
        </w:trPr>
        <w:tc>
          <w:tcPr>
            <w:tcW w:type="dxa" w:w="214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Experience</w:t>
            </w:r>
          </w:p>
        </w:tc>
        <w:tc>
          <w:tcPr>
            <w:tcW w:type="dxa" w:w="333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React + TypeScript SPA</w:t>
            </w:r>
          </w:p>
        </w:tc>
        <w:tc>
          <w:tcPr>
            <w:tcW w:type="dxa" w:w="41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tablet-first role portals, validation, operational feedback, printing/scanning interaction</w:t>
            </w:r>
          </w:p>
        </w:tc>
      </w:tr>
      <w:tr>
        <w:trPr>
          <w:cantSplit/>
        </w:trPr>
        <w:tc>
          <w:tcPr>
            <w:tcW w:type="dxa" w:w="214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State/client integration</w:t>
            </w:r>
          </w:p>
        </w:tc>
        <w:tc>
          <w:tcPr>
            <w:tcW w:type="dxa" w:w="333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frontend stores, REST client, Socket.IO client</w:t>
            </w:r>
          </w:p>
        </w:tc>
        <w:tc>
          <w:tcPr>
            <w:tcW w:type="dxa" w:w="41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authenticated calls, client state, realtime refresh</w:t>
            </w:r>
          </w:p>
        </w:tc>
      </w:tr>
      <w:tr>
        <w:trPr>
          <w:cantSplit/>
        </w:trPr>
        <w:tc>
          <w:tcPr>
            <w:tcW w:type="dxa" w:w="214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API</w:t>
            </w:r>
          </w:p>
        </w:tc>
        <w:tc>
          <w:tcPr>
            <w:tcW w:type="dxa" w:w="333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Node.js + Express</w:t>
            </w:r>
          </w:p>
        </w:tc>
        <w:tc>
          <w:tcPr>
            <w:tcW w:type="dxa" w:w="41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route composition, validation, response/error contract</w:t>
            </w:r>
          </w:p>
        </w:tc>
      </w:tr>
      <w:tr>
        <w:trPr>
          <w:cantSplit/>
        </w:trPr>
        <w:tc>
          <w:tcPr>
            <w:tcW w:type="dxa" w:w="214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Security middleware</w:t>
            </w:r>
          </w:p>
        </w:tc>
        <w:tc>
          <w:tcPr>
            <w:tcW w:type="dxa" w:w="333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token authentication, RBAC/context and API audit</w:t>
            </w:r>
          </w:p>
        </w:tc>
        <w:tc>
          <w:tcPr>
            <w:tcW w:type="dxa" w:w="41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identity, authorization, deny/audit evidence</w:t>
            </w:r>
          </w:p>
        </w:tc>
      </w:tr>
      <w:tr>
        <w:trPr>
          <w:cantSplit/>
        </w:trPr>
        <w:tc>
          <w:tcPr>
            <w:tcW w:type="dxa" w:w="214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Domain/application services</w:t>
            </w:r>
          </w:p>
        </w:tc>
        <w:tc>
          <w:tcPr>
            <w:tcW w:type="dxa" w:w="333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 approval, outbox, weighing, observability, polling</w:t>
            </w:r>
          </w:p>
        </w:tc>
        <w:tc>
          <w:tcPr>
            <w:tcW w:type="dxa" w:w="41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state transitions, policy, idempotency, integration resilience</w:t>
            </w:r>
          </w:p>
        </w:tc>
      </w:tr>
      <w:tr>
        <w:trPr>
          <w:cantSplit/>
        </w:trPr>
        <w:tc>
          <w:tcPr>
            <w:tcW w:type="dxa" w:w="214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Operational data</w:t>
            </w:r>
          </w:p>
        </w:tc>
        <w:tc>
          <w:tcPr>
            <w:tcW w:type="dxa" w:w="333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SQL Server schema wf</w:t>
            </w:r>
          </w:p>
        </w:tc>
        <w:tc>
          <w:tcPr>
            <w:tcW w:type="dxa" w:w="41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app-owned workflow, audit, ledger, policies, outbox and reconciliation</w:t>
            </w:r>
          </w:p>
        </w:tc>
      </w:tr>
      <w:tr>
        <w:trPr>
          <w:cantSplit/>
        </w:trPr>
        <w:tc>
          <w:tcPr>
            <w:tcW w:type="dxa" w:w="214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Accounting/master integration</w:t>
            </w:r>
          </w:p>
        </w:tc>
        <w:tc>
          <w:tcPr>
            <w:tcW w:type="dxa" w:w="333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WINSpeed SQL Server dbo</w:t>
            </w:r>
          </w:p>
        </w:tc>
        <w:tc>
          <w:tcPr>
            <w:tcW w:type="dxa" w:w="41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approved read models and explicit controlled write contracts</w:t>
            </w:r>
          </w:p>
        </w:tc>
      </w:tr>
      <w:tr>
        <w:trPr>
          <w:cantSplit/>
        </w:trPr>
        <w:tc>
          <w:tcPr>
            <w:tcW w:type="dxa" w:w="214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Weighing integration</w:t>
            </w:r>
          </w:p>
        </w:tc>
        <w:tc>
          <w:tcPr>
            <w:tcW w:type="dxa" w:w="333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TruckScale MySQL</w:t>
            </w:r>
          </w:p>
        </w:tc>
        <w:tc>
          <w:tcPr>
            <w:tcW w:type="dxa" w:w="41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completed-weigh read/sync; pre-weigh queue write only to tbl_keyone</w:t>
            </w:r>
          </w:p>
        </w:tc>
      </w:tr>
      <w:tr>
        <w:trPr>
          <w:cantSplit/>
        </w:trPr>
        <w:tc>
          <w:tcPr>
            <w:tcW w:type="dxa" w:w="214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Deployment</w:t>
            </w:r>
          </w:p>
        </w:tc>
        <w:tc>
          <w:tcPr>
            <w:tcW w:type="dxa" w:w="33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container/compose, environment configuration</w:t>
            </w:r>
          </w:p>
        </w:tc>
        <w:tc>
          <w:tcPr>
            <w:tcW w:type="dxa" w:w="415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reproducible runtime, health checks, backup/restore and secret injection</w:t>
            </w:r>
          </w:p>
        </w:tc>
      </w:tr>
    </w:tbl>
    <w:p>
      <w:pPr>
        <w:pStyle w:val="Heading3"/>
        <w:keepNext/>
      </w:pPr>
      <w:r>
        <w:rPr>
          <w:rFonts w:ascii="Kanit" w:hAnsi="Kanit" w:eastAsia="Kanit" w:cs="Kanit"/>
          <w:b/>
          <w:color w:val="2B8C82"/>
          <w:sz w:val="23"/>
        </w:rPr>
        <w:t>4. API contract</w:t>
      </w:r>
    </w:p>
    <w:p>
      <w:pPr>
        <w:spacing w:after="60"/>
      </w:pPr>
      <w:r>
        <w:rPr>
          <w:rFonts w:ascii="Prompt" w:hAnsi="Prompt" w:eastAsia="Prompt" w:cs="Prompt"/>
          <w:i w:val="0"/>
          <w:color w:val="1C2730"/>
          <w:sz w:val="18"/>
        </w:rPr>
        <w:t>All protected endpoints must validate authentication, role/context and object-level permission. Mutable endpoints must validate state and payload, use parameterized queries, write audit evidence and apply idempotency where retry may duplicate outcomes.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4054"/>
        <w:gridCol w:w="5585"/>
      </w:tblGrid>
      <w:tr>
        <w:trPr>
          <w:tblHeader w:val="true"/>
          <w:cantSplit/>
        </w:trPr>
        <w:tc>
          <w:tcPr>
            <w:tcW w:type="dxa" w:w="4054"/>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Route mount</w:t>
            </w:r>
          </w:p>
        </w:tc>
        <w:tc>
          <w:tcPr>
            <w:tcW w:type="dxa" w:w="5585"/>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Technical responsibility</w:t>
            </w:r>
          </w:p>
        </w:tc>
      </w:tr>
      <w:tr>
        <w:trPr>
          <w:cantSplit/>
        </w:trPr>
        <w:tc>
          <w:tcPr>
            <w:tcW w:type="dxa" w:w="405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w:t>
            </w:r>
          </w:p>
        </w:tc>
        <w:tc>
          <w:tcPr>
            <w:tcW w:type="dxa" w:w="558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login, session identity and user administration</w:t>
            </w:r>
          </w:p>
        </w:tc>
      </w:tr>
      <w:tr>
        <w:trPr>
          <w:cantSplit/>
        </w:trPr>
        <w:tc>
          <w:tcPr>
            <w:tcW w:type="dxa" w:w="405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w:t>
            </w:r>
          </w:p>
        </w:tc>
        <w:tc>
          <w:tcPr>
            <w:tcW w:type="dxa" w:w="558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Sales Order CRUD, verification, lifecycle, unlock and ship</w:t>
            </w:r>
          </w:p>
        </w:tc>
      </w:tr>
      <w:tr>
        <w:trPr>
          <w:cantSplit/>
        </w:trPr>
        <w:tc>
          <w:tcPr>
            <w:tcW w:type="dxa" w:w="405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w:t>
            </w:r>
          </w:p>
        </w:tc>
        <w:tc>
          <w:tcPr>
            <w:tcW w:type="dxa" w:w="558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quotation lifecycle and conversion linkage</w:t>
            </w:r>
          </w:p>
        </w:tc>
      </w:tr>
      <w:tr>
        <w:trPr>
          <w:cantSplit/>
        </w:trPr>
        <w:tc>
          <w:tcPr>
            <w:tcW w:type="dxa" w:w="405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w:t>
            </w:r>
          </w:p>
        </w:tc>
        <w:tc>
          <w:tcPr>
            <w:tcW w:type="dxa" w:w="558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approved customer, goods, price, transport and aging read models</w:t>
            </w:r>
          </w:p>
        </w:tc>
      </w:tr>
      <w:tr>
        <w:trPr>
          <w:cantSplit/>
        </w:trPr>
        <w:tc>
          <w:tcPr>
            <w:tcW w:type="dxa" w:w="405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w:t>
            </w:r>
          </w:p>
        </w:tc>
        <w:tc>
          <w:tcPr>
            <w:tcW w:type="dxa" w:w="558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health, candidate search, sync status/run, inbox, match and controlled ingest</w:t>
            </w:r>
          </w:p>
        </w:tc>
      </w:tr>
      <w:tr>
        <w:trPr>
          <w:cantSplit/>
        </w:trPr>
        <w:tc>
          <w:tcPr>
            <w:tcW w:type="dxa" w:w="405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 /api/giveaway, /api/pricebook</w:t>
            </w:r>
          </w:p>
        </w:tc>
        <w:tc>
          <w:tcPr>
            <w:tcW w:type="dxa" w:w="558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commercial program, budget, accrual/claim and price workflow</w:t>
            </w:r>
          </w:p>
        </w:tc>
      </w:tr>
      <w:tr>
        <w:trPr>
          <w:cantSplit/>
        </w:trPr>
        <w:tc>
          <w:tcPr>
            <w:tcW w:type="dxa" w:w="405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w:t>
            </w:r>
          </w:p>
        </w:tc>
        <w:tc>
          <w:tcPr>
            <w:tcW w:type="dxa" w:w="558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four-copy generation, QR nonce, scan/custody and unlock evidence</w:t>
            </w:r>
          </w:p>
        </w:tc>
      </w:tr>
      <w:tr>
        <w:trPr>
          <w:cantSplit/>
        </w:trPr>
        <w:tc>
          <w:tcPr>
            <w:tcW w:type="dxa" w:w="405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/api/recon, /api/reports</w:t>
            </w:r>
          </w:p>
        </w:tc>
        <w:tc>
          <w:tcPr>
            <w:tcW w:type="dxa" w:w="558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cross-system reconciliation, operational reports and export</w:t>
            </w:r>
          </w:p>
        </w:tc>
      </w:tr>
      <w:tr>
        <w:trPr>
          <w:cantSplit/>
        </w:trPr>
        <w:tc>
          <w:tcPr>
            <w:tcW w:type="dxa" w:w="405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/api/policy, /api/credit, /api/stock, /api/pdpa</w:t>
            </w:r>
          </w:p>
        </w:tc>
        <w:tc>
          <w:tcPr>
            <w:tcW w:type="dxa" w:w="558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governed configuration and data controls</w:t>
            </w:r>
          </w:p>
        </w:tc>
      </w:tr>
      <w:tr>
        <w:trPr>
          <w:cantSplit/>
        </w:trPr>
        <w:tc>
          <w:tcPr>
            <w:tcW w:type="dxa" w:w="405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/api/ops, /api/line</w:t>
            </w:r>
          </w:p>
        </w:tc>
        <w:tc>
          <w:tcPr>
            <w:tcW w:type="dxa" w:w="558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health/telemetry/outbox/alert and signed notification integration</w:t>
            </w:r>
          </w:p>
        </w:tc>
      </w:tr>
    </w:tbl>
    <w:p>
      <w:pPr>
        <w:spacing w:after="60"/>
      </w:pPr>
      <w:r>
        <w:rPr>
          <w:rFonts w:ascii="Prompt" w:hAnsi="Prompt" w:eastAsia="Prompt" w:cs="Prompt"/>
          <w:i w:val="0"/>
          <w:color w:val="1C2730"/>
          <w:sz w:val="18"/>
        </w:rPr>
        <w:t>The complete generated endpoint list and source locations are maintained in API Reference.</w:t>
      </w:r>
    </w:p>
    <w:p>
      <w:pPr>
        <w:pStyle w:val="Heading3"/>
        <w:keepNext/>
      </w:pPr>
      <w:r>
        <w:rPr>
          <w:rFonts w:ascii="Kanit" w:hAnsi="Kanit" w:eastAsia="Kanit" w:cs="Kanit"/>
          <w:b/>
          <w:color w:val="2B8C82"/>
          <w:sz w:val="23"/>
        </w:rPr>
        <w:t>5. Data and transaction design</w:t>
      </w:r>
    </w:p>
    <w:p>
      <w:pPr>
        <w:pStyle w:val="ListBullet"/>
        <w:spacing w:after="40"/>
      </w:pPr>
      <w:r>
        <w:rPr>
          <w:rFonts w:ascii="Prompt" w:hAnsi="Prompt" w:eastAsia="Prompt" w:cs="Prompt"/>
          <w:color w:val="1C2730"/>
          <w:sz w:val="18"/>
        </w:rPr>
        <w:t>wf is the operational extension and owns application workflow/audit records.</w:t>
      </w:r>
    </w:p>
    <w:p>
      <w:pPr>
        <w:pStyle w:val="ListBullet"/>
        <w:spacing w:after="40"/>
      </w:pPr>
      <w:r>
        <w:rPr>
          <w:rFonts w:ascii="Prompt" w:hAnsi="Prompt" w:eastAsia="Prompt" w:cs="Prompt"/>
          <w:color w:val="1C2730"/>
          <w:sz w:val="18"/>
        </w:rPr>
        <w:t>Migrations execute in numeric sequence and record checksum/application state; release procedures must not silently rewrite an applied migration.</w:t>
      </w:r>
    </w:p>
    <w:p>
      <w:pPr>
        <w:pStyle w:val="ListBullet"/>
        <w:spacing w:after="40"/>
      </w:pPr>
      <w:r>
        <w:rPr>
          <w:rFonts w:ascii="Prompt" w:hAnsi="Prompt" w:eastAsia="Prompt" w:cs="Prompt"/>
          <w:color w:val="1C2730"/>
          <w:sz w:val="18"/>
        </w:rPr>
        <w:t>Financial values use decimal types and explicit rounding; quantities retain canonical unit and conversion.</w:t>
      </w:r>
    </w:p>
    <w:p>
      <w:pPr>
        <w:pStyle w:val="ListBullet"/>
        <w:spacing w:after="40"/>
      </w:pPr>
      <w:r>
        <w:rPr>
          <w:rFonts w:ascii="Prompt" w:hAnsi="Prompt" w:eastAsia="Prompt" w:cs="Prompt"/>
          <w:color w:val="1C2730"/>
          <w:sz w:val="18"/>
        </w:rPr>
        <w:t>Cross-system references retain raw source identity, normalized match attributes, timestamps and reconciliation disposition.</w:t>
      </w:r>
    </w:p>
    <w:p>
      <w:pPr>
        <w:pStyle w:val="ListBullet"/>
        <w:spacing w:after="40"/>
      </w:pPr>
      <w:r>
        <w:rPr>
          <w:rFonts w:ascii="Prompt" w:hAnsi="Prompt" w:eastAsia="Prompt" w:cs="Prompt"/>
          <w:color w:val="1C2730"/>
          <w:sz w:val="18"/>
        </w:rPr>
        <w:t>Mutable workflow operations use transaction boundaries appropriate to their invariants; an external-system call must not leave an untraceable partial success.</w:t>
      </w:r>
    </w:p>
    <w:p>
      <w:pPr>
        <w:pStyle w:val="ListBullet"/>
        <w:spacing w:after="40"/>
      </w:pPr>
      <w:r>
        <w:rPr>
          <w:rFonts w:ascii="Prompt" w:hAnsi="Prompt" w:eastAsia="Prompt" w:cs="Prompt"/>
          <w:color w:val="1C2730"/>
          <w:sz w:val="18"/>
        </w:rPr>
        <w:t>Corrections use controlled compensation/unlock; shipped/audited evidence must not be hard-deleted.</w:t>
      </w:r>
    </w:p>
    <w:p>
      <w:pPr>
        <w:pStyle w:val="Heading3"/>
        <w:keepNext/>
      </w:pPr>
      <w:r>
        <w:rPr>
          <w:rFonts w:ascii="Kanit" w:hAnsi="Kanit" w:eastAsia="Kanit" w:cs="Kanit"/>
          <w:b/>
          <w:color w:val="2B8C82"/>
          <w:sz w:val="23"/>
        </w:rPr>
        <w:t>6. Integration contracts</w:t>
      </w:r>
    </w:p>
    <w:p>
      <w:pPr>
        <w:pStyle w:val="Heading4"/>
        <w:keepNext/>
      </w:pPr>
      <w:r>
        <w:rPr>
          <w:rFonts w:ascii="Kanit" w:hAnsi="Kanit" w:eastAsia="Kanit" w:cs="Kanit"/>
          <w:b/>
          <w:color w:val="1C2730"/>
          <w:sz w:val="21"/>
        </w:rPr>
        <w:t>6.1 WINSpeed</w:t>
      </w:r>
    </w:p>
    <w:p>
      <w:pPr>
        <w:spacing w:after="60"/>
      </w:pPr>
      <w:r>
        <w:rPr>
          <w:rFonts w:ascii="Prompt" w:hAnsi="Prompt" w:eastAsia="Prompt" w:cs="Prompt"/>
          <w:i w:val="0"/>
          <w:color w:val="1C2730"/>
          <w:sz w:val="18"/>
        </w:rPr>
        <w:t>WINSpeed remains system of record for accounting master, invoice, CN and GL. Read access uses approved contracts/views/queries. Any direct dbo write is an explicit exception subject to ADR-003, allowlist review, least-privilege credential, transaction/error handling, reconciliation and rollback/forward-fix evidence.</w:t>
      </w:r>
    </w:p>
    <w:p>
      <w:pPr>
        <w:pStyle w:val="Heading4"/>
        <w:keepNext/>
      </w:pPr>
      <w:r>
        <w:rPr>
          <w:rFonts w:ascii="Kanit" w:hAnsi="Kanit" w:eastAsia="Kanit" w:cs="Kanit"/>
          <w:b/>
          <w:color w:val="1C2730"/>
          <w:sz w:val="21"/>
        </w:rPr>
        <w:t>6.2 TruckScale</w:t>
      </w:r>
    </w:p>
    <w:p>
      <w:pPr>
        <w:spacing w:after="60"/>
      </w:pPr>
      <w:r>
        <w:rPr>
          <w:rFonts w:ascii="Prompt" w:hAnsi="Prompt" w:eastAsia="Prompt" w:cs="Prompt"/>
          <w:i w:val="0"/>
          <w:color w:val="1C2730"/>
          <w:sz w:val="18"/>
        </w:rPr>
        <w:t>Completed-weigh data and reference tables are read-only. The application may insert/delete only the pre-weigh queue tbl_keyone under the controlled contract. Pull-sync uses watermark plus refresh of open records, idempotent upsert into wf.WeighInbox, matching by controlled rules and visible MATCHED, MULTI or UNMATCHED disposition.</w:t>
      </w:r>
    </w:p>
    <w:p>
      <w:pPr>
        <w:pStyle w:val="Heading4"/>
        <w:keepNext/>
      </w:pPr>
      <w:r>
        <w:rPr>
          <w:rFonts w:ascii="Kanit" w:hAnsi="Kanit" w:eastAsia="Kanit" w:cs="Kanit"/>
          <w:b/>
          <w:color w:val="1C2730"/>
          <w:sz w:val="21"/>
        </w:rPr>
        <w:t>6.3 Reliable event and notification</w:t>
      </w:r>
    </w:p>
    <w:p>
      <w:pPr>
        <w:spacing w:after="60"/>
      </w:pPr>
      <w:r>
        <w:rPr>
          <w:rFonts w:ascii="Prompt" w:hAnsi="Prompt" w:eastAsia="Prompt" w:cs="Prompt"/>
          <w:i w:val="0"/>
          <w:color w:val="1C2730"/>
          <w:sz w:val="18"/>
        </w:rPr>
        <w:t>Business operations enqueue integration/outbox records with idempotency key and payload hash. Workers record attempt, result and retry state. Notification delivery failure must remain visible and must not change a failed external delivery into a successful business assertion.</w:t>
      </w:r>
    </w:p>
    <w:p>
      <w:pPr>
        <w:pStyle w:val="Heading3"/>
        <w:keepNext/>
      </w:pPr>
      <w:r>
        <w:rPr>
          <w:rFonts w:ascii="Kanit" w:hAnsi="Kanit" w:eastAsia="Kanit" w:cs="Kanit"/>
          <w:b/>
          <w:color w:val="2B8C82"/>
          <w:sz w:val="23"/>
        </w:rPr>
        <w:t>7. Security and privacy controls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784"/>
        <w:gridCol w:w="6855"/>
      </w:tblGrid>
      <w:tr>
        <w:trPr>
          <w:tblHeader w:val="true"/>
          <w:cantSplit/>
        </w:trPr>
        <w:tc>
          <w:tcPr>
            <w:tcW w:type="dxa" w:w="278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Control area</w:t>
            </w:r>
          </w:p>
        </w:tc>
        <w:tc>
          <w:tcPr>
            <w:tcW w:type="dxa" w:w="685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Required implementation</w:t>
            </w:r>
          </w:p>
        </w:tc>
      </w:tr>
      <w:tr>
        <w:trPr>
          <w:cantSplit/>
        </w:trPr>
        <w:tc>
          <w:tcPr>
            <w:tcW w:type="dxa" w:w="278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Identity and access</w:t>
            </w:r>
          </w:p>
        </w:tc>
        <w:tc>
          <w:tcPr>
            <w:tcW w:type="dxa" w:w="685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named account, token validation, RBAC, context/object authorization, controlled Access As</w:t>
            </w:r>
          </w:p>
        </w:tc>
      </w:tr>
      <w:tr>
        <w:trPr>
          <w:cantSplit/>
        </w:trPr>
        <w:tc>
          <w:tcPr>
            <w:tcW w:type="dxa" w:w="278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Database access</w:t>
            </w:r>
          </w:p>
        </w:tc>
        <w:tc>
          <w:tcPr>
            <w:tcW w:type="dxa" w:w="685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parameterized SQL, scoped credentials, encrypted transport and no runtime sa/root</w:t>
            </w:r>
          </w:p>
        </w:tc>
      </w:tr>
      <w:tr>
        <w:trPr>
          <w:cantSplit/>
        </w:trPr>
        <w:tc>
          <w:tcPr>
            <w:tcW w:type="dxa" w:w="278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Secrets</w:t>
            </w:r>
          </w:p>
        </w:tc>
        <w:tc>
          <w:tcPr>
            <w:tcW w:type="dxa" w:w="685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environment/secret manager injection; no committed production secret</w:t>
            </w:r>
          </w:p>
        </w:tc>
      </w:tr>
      <w:tr>
        <w:trPr>
          <w:cantSplit/>
        </w:trPr>
        <w:tc>
          <w:tcPr>
            <w:tcW w:type="dxa" w:w="278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Audit</w:t>
            </w:r>
          </w:p>
        </w:tc>
        <w:tc>
          <w:tcPr>
            <w:tcW w:type="dxa" w:w="685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actor, action, target, correlation, before/after or evidence reference, timestamp and outcome</w:t>
            </w:r>
          </w:p>
        </w:tc>
      </w:tr>
      <w:tr>
        <w:trPr>
          <w:cantSplit/>
        </w:trPr>
        <w:tc>
          <w:tcPr>
            <w:tcW w:type="dxa" w:w="278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Privacy</w:t>
            </w:r>
          </w:p>
        </w:tc>
        <w:tc>
          <w:tcPr>
            <w:tcW w:type="dxa" w:w="685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classification, least disclosure, export authorization, retention policy and DSAR log</w:t>
            </w:r>
          </w:p>
        </w:tc>
      </w:tr>
      <w:tr>
        <w:trPr>
          <w:cantSplit/>
        </w:trPr>
        <w:tc>
          <w:tcPr>
            <w:tcW w:type="dxa" w:w="278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Interface protection</w:t>
            </w:r>
          </w:p>
        </w:tc>
        <w:tc>
          <w:tcPr>
            <w:tcW w:type="dxa" w:w="685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webhook signature/secret, replay/idempotency handling, rate/timeout limits</w:t>
            </w:r>
          </w:p>
        </w:tc>
      </w:tr>
      <w:tr>
        <w:trPr>
          <w:cantSplit/>
        </w:trPr>
        <w:tc>
          <w:tcPr>
            <w:tcW w:type="dxa" w:w="278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Operations</w:t>
            </w:r>
          </w:p>
        </w:tc>
        <w:tc>
          <w:tcPr>
            <w:tcW w:type="dxa" w:w="685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security logging, alert routing, backup protection, patch/vulnerability process</w:t>
            </w:r>
          </w:p>
        </w:tc>
      </w:tr>
    </w:tbl>
    <w:p>
      <w:pPr>
        <w:pStyle w:val="Heading3"/>
        <w:keepNext/>
      </w:pPr>
      <w:r>
        <w:rPr>
          <w:rFonts w:ascii="Kanit" w:hAnsi="Kanit" w:eastAsia="Kanit" w:cs="Kanit"/>
          <w:b/>
          <w:color w:val="2B8C82"/>
          <w:sz w:val="23"/>
        </w:rPr>
        <w:t>8. Deployment and operational specification</w:t>
      </w:r>
    </w:p>
    <w:p>
      <w:pPr>
        <w:pStyle w:val="ListBullet"/>
        <w:spacing w:after="40"/>
      </w:pPr>
      <w:r>
        <w:rPr>
          <w:rFonts w:ascii="Prompt" w:hAnsi="Prompt" w:eastAsia="Prompt" w:cs="Prompt"/>
          <w:color w:val="1C2730"/>
          <w:sz w:val="18"/>
        </w:rPr>
        <w:t>Frontend is built as immutable static assets and served through controlled hosting/CDN/Nginx.</w:t>
      </w:r>
    </w:p>
    <w:p>
      <w:pPr>
        <w:pStyle w:val="ListBullet"/>
        <w:spacing w:after="40"/>
      </w:pPr>
      <w:r>
        <w:rPr>
          <w:rFonts w:ascii="Prompt" w:hAnsi="Prompt" w:eastAsia="Prompt" w:cs="Prompt"/>
          <w:color w:val="1C2730"/>
          <w:sz w:val="18"/>
        </w:rPr>
        <w:t>Backend is built as an immutable container with environment-specific configuration and health endpoint.</w:t>
      </w:r>
    </w:p>
    <w:p>
      <w:pPr>
        <w:pStyle w:val="ListBullet"/>
        <w:spacing w:after="40"/>
      </w:pPr>
      <w:r>
        <w:rPr>
          <w:rFonts w:ascii="Prompt" w:hAnsi="Prompt" w:eastAsia="Prompt" w:cs="Prompt"/>
          <w:color w:val="1C2730"/>
          <w:sz w:val="18"/>
        </w:rPr>
        <w:t>SQL Server and TruckScale connectivity must use private network/VPN/allowlist appropriate to the environment.</w:t>
      </w:r>
    </w:p>
    <w:p>
      <w:pPr>
        <w:pStyle w:val="ListBullet"/>
        <w:spacing w:after="40"/>
      </w:pPr>
      <w:r>
        <w:rPr>
          <w:rFonts w:ascii="Prompt" w:hAnsi="Prompt" w:eastAsia="Prompt" w:cs="Prompt"/>
          <w:color w:val="1C2730"/>
          <w:sz w:val="18"/>
        </w:rPr>
        <w:t>Coolify deployment source includes deploy/coolify/docker-compose.yml, database backup script and backend/.env.coolify.example; production values must be supplied from secrets.</w:t>
      </w:r>
    </w:p>
    <w:p>
      <w:pPr>
        <w:pStyle w:val="ListBullet"/>
        <w:spacing w:after="40"/>
      </w:pPr>
      <w:r>
        <w:rPr>
          <w:rFonts w:ascii="Prompt" w:hAnsi="Prompt" w:eastAsia="Prompt" w:cs="Prompt"/>
          <w:color w:val="1C2730"/>
          <w:sz w:val="18"/>
        </w:rPr>
        <w:t>Preflight verifies required configuration/dependencies before deployment.</w:t>
      </w:r>
    </w:p>
    <w:p>
      <w:pPr>
        <w:pStyle w:val="ListBullet"/>
        <w:spacing w:after="40"/>
      </w:pPr>
      <w:r>
        <w:rPr>
          <w:rFonts w:ascii="Prompt" w:hAnsi="Prompt" w:eastAsia="Prompt" w:cs="Prompt"/>
          <w:color w:val="1C2730"/>
          <w:sz w:val="18"/>
        </w:rPr>
        <w:t>Go-live requires migration dry run, backup plus restore test, monitoring/alert delivery, rollback or forward-fix decision, capacity check and signed operational handover.</w:t>
      </w:r>
    </w:p>
    <w:p>
      <w:pPr>
        <w:pStyle w:val="Heading3"/>
        <w:keepNext/>
      </w:pPr>
      <w:r>
        <w:rPr>
          <w:rFonts w:ascii="Kanit" w:hAnsi="Kanit" w:eastAsia="Kanit" w:cs="Kanit"/>
          <w:b/>
          <w:color w:val="2B8C82"/>
          <w:sz w:val="23"/>
        </w:rPr>
        <w:t>9. Observability and error behavior</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665"/>
        <w:gridCol w:w="6974"/>
      </w:tblGrid>
      <w:tr>
        <w:trPr>
          <w:tblHeader w:val="true"/>
          <w:cantSplit/>
        </w:trPr>
        <w:tc>
          <w:tcPr>
            <w:tcW w:type="dxa" w:w="266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Signal</w:t>
            </w:r>
          </w:p>
        </w:tc>
        <w:tc>
          <w:tcPr>
            <w:tcW w:type="dxa" w:w="697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Minimum evidence</w:t>
            </w:r>
          </w:p>
        </w:tc>
      </w:tr>
      <w:tr>
        <w:trPr>
          <w:cantSplit/>
        </w:trPr>
        <w:tc>
          <w:tcPr>
            <w:tcW w:type="dxa" w:w="26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Health</w:t>
            </w:r>
          </w:p>
        </w:tc>
        <w:tc>
          <w:tcPr>
            <w:tcW w:type="dxa" w:w="697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runtime version, uptime and SQL Server/MySQL dependency status</w:t>
            </w:r>
          </w:p>
        </w:tc>
      </w:tr>
      <w:tr>
        <w:trPr>
          <w:cantSplit/>
        </w:trPr>
        <w:tc>
          <w:tcPr>
            <w:tcW w:type="dxa" w:w="266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Request/error</w:t>
            </w:r>
          </w:p>
        </w:tc>
        <w:tc>
          <w:tcPr>
            <w:tcW w:type="dxa" w:w="697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correlation, route, status, duration and sanitized error record</w:t>
            </w:r>
          </w:p>
        </w:tc>
      </w:tr>
      <w:tr>
        <w:trPr>
          <w:cantSplit/>
        </w:trPr>
        <w:tc>
          <w:tcPr>
            <w:tcW w:type="dxa" w:w="26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Business audit</w:t>
            </w:r>
          </w:p>
        </w:tc>
        <w:tc>
          <w:tcPr>
            <w:tcW w:type="dxa" w:w="697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actor, transition, target, reason and before/after evidence</w:t>
            </w:r>
          </w:p>
        </w:tc>
      </w:tr>
      <w:tr>
        <w:trPr>
          <w:cantSplit/>
        </w:trPr>
        <w:tc>
          <w:tcPr>
            <w:tcW w:type="dxa" w:w="266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Outbox/integration</w:t>
            </w:r>
          </w:p>
        </w:tc>
        <w:tc>
          <w:tcPr>
            <w:tcW w:type="dxa" w:w="697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pending/attempt/retry/succeeded/dead-letter or equivalent disposition</w:t>
            </w:r>
          </w:p>
        </w:tc>
      </w:tr>
      <w:tr>
        <w:trPr>
          <w:cantSplit/>
        </w:trPr>
        <w:tc>
          <w:tcPr>
            <w:tcW w:type="dxa" w:w="26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Reconciliation</w:t>
            </w:r>
          </w:p>
        </w:tc>
        <w:tc>
          <w:tcPr>
            <w:tcW w:type="dxa" w:w="697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expected/actual, severity, owner, decision and closure evidence</w:t>
            </w:r>
          </w:p>
        </w:tc>
      </w:tr>
      <w:tr>
        <w:trPr>
          <w:cantSplit/>
        </w:trPr>
        <w:tc>
          <w:tcPr>
            <w:tcW w:type="dxa" w:w="266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Release</w:t>
            </w:r>
          </w:p>
        </w:tc>
        <w:tc>
          <w:tcPr>
            <w:tcW w:type="dxa" w:w="69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commit/build/version, migration result, deployment timestamp and rollback point</w:t>
            </w:r>
          </w:p>
        </w:tc>
      </w:tr>
    </w:tbl>
    <w:p>
      <w:pPr>
        <w:spacing w:after="60"/>
      </w:pPr>
      <w:r>
        <w:rPr>
          <w:rFonts w:ascii="Prompt" w:hAnsi="Prompt" w:eastAsia="Prompt" w:cs="Prompt"/>
          <w:i w:val="0"/>
          <w:color w:val="1C2730"/>
          <w:sz w:val="18"/>
        </w:rPr>
        <w:t>API errors use consistent HTTP semantics: 400 validation, 401 unauthenticated, 403 unauthorized, 404 absent resource, 409 state/idempotency conflict and 5xx unexpected/dependency failure. User-facing messages must state recovery action without leaking credentials, SQL or stack traces.</w:t>
      </w:r>
    </w:p>
    <w:p>
      <w:pPr>
        <w:pStyle w:val="Heading3"/>
        <w:keepNext/>
      </w:pPr>
      <w:r>
        <w:rPr>
          <w:rFonts w:ascii="Kanit" w:hAnsi="Kanit" w:eastAsia="Kanit" w:cs="Kanit"/>
          <w:b/>
          <w:color w:val="2B8C82"/>
          <w:sz w:val="23"/>
        </w:rPr>
        <w:t>10. Verification strategy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965"/>
        <w:gridCol w:w="6674"/>
      </w:tblGrid>
      <w:tr>
        <w:trPr>
          <w:tblHeader w:val="true"/>
          <w:cantSplit/>
        </w:trPr>
        <w:tc>
          <w:tcPr>
            <w:tcW w:type="dxa" w:w="296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Verification level</w:t>
            </w:r>
          </w:p>
        </w:tc>
        <w:tc>
          <w:tcPr>
            <w:tcW w:type="dxa" w:w="667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Current/required evidence</w:t>
            </w:r>
          </w:p>
        </w:tc>
      </w:tr>
      <w:tr>
        <w:trPr>
          <w:cantSplit/>
        </w:trPr>
        <w:tc>
          <w:tcPr>
            <w:tcW w:type="dxa" w:w="29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Static source alignment</w:t>
            </w:r>
          </w:p>
        </w:tc>
        <w:tc>
          <w:tcPr>
            <w:tcW w:type="dxa" w:w="667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source inventory/hash, route/endpoint/role/portal/migration extraction and review mapping</w:t>
            </w:r>
          </w:p>
        </w:tc>
      </w:tr>
      <w:tr>
        <w:trPr>
          <w:cantSplit/>
        </w:trPr>
        <w:tc>
          <w:tcPr>
            <w:tcW w:type="dxa" w:w="296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Unit/component</w:t>
            </w:r>
          </w:p>
        </w:tc>
        <w:tc>
          <w:tcPr>
            <w:tcW w:type="dxa" w:w="667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service/rule/data behavior tests, including negative and boundary cases</w:t>
            </w:r>
          </w:p>
        </w:tc>
      </w:tr>
      <w:tr>
        <w:trPr>
          <w:cantSplit/>
        </w:trPr>
        <w:tc>
          <w:tcPr>
            <w:tcW w:type="dxa" w:w="29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API/integration</w:t>
            </w:r>
          </w:p>
        </w:tc>
        <w:tc>
          <w:tcPr>
            <w:tcW w:type="dxa" w:w="667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contract tests, database transaction/idempotency, WINSpeed/TruckScale failure and reconciliation</w:t>
            </w:r>
          </w:p>
        </w:tc>
      </w:tr>
      <w:tr>
        <w:trPr>
          <w:cantSplit/>
        </w:trPr>
        <w:tc>
          <w:tcPr>
            <w:tcW w:type="dxa" w:w="296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Automated E2E</w:t>
            </w:r>
          </w:p>
        </w:tc>
        <w:tc>
          <w:tcPr>
            <w:tcW w:type="dxa" w:w="667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current run passed 10/10 on stable source with both databases health up</w:t>
            </w:r>
          </w:p>
        </w:tc>
      </w:tr>
      <w:tr>
        <w:trPr>
          <w:cantSplit/>
        </w:trPr>
        <w:tc>
          <w:tcPr>
            <w:tcW w:type="dxa" w:w="29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Manual UAT</w:t>
            </w:r>
          </w:p>
        </w:tc>
        <w:tc>
          <w:tcPr>
            <w:tcW w:type="dxa" w:w="667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eight-role scripts, exception paths, print/scan/hardware, financial reconciliation and sign-off</w:t>
            </w:r>
          </w:p>
        </w:tc>
      </w:tr>
      <w:tr>
        <w:trPr>
          <w:cantSplit/>
        </w:trPr>
        <w:tc>
          <w:tcPr>
            <w:tcW w:type="dxa" w:w="296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Operational readiness</w:t>
            </w:r>
          </w:p>
        </w:tc>
        <w:tc>
          <w:tcPr>
            <w:tcW w:type="dxa" w:w="66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backup/restore, alert delivery, migration, performance, security and rollback evidence</w:t>
            </w:r>
          </w:p>
        </w:tc>
      </w:tr>
    </w:tbl>
    <w:p>
      <w:pPr>
        <w:pStyle w:val="Heading3"/>
        <w:keepNext/>
      </w:pPr>
      <w:r>
        <w:rPr>
          <w:rFonts w:ascii="Kanit" w:hAnsi="Kanit" w:eastAsia="Kanit" w:cs="Kanit"/>
          <w:b/>
          <w:color w:val="2B8C82"/>
          <w:sz w:val="23"/>
        </w:rPr>
        <w:t>11. Standards alignment and document control</w:t>
      </w:r>
    </w:p>
    <w:p>
      <w:pPr>
        <w:spacing w:after="60"/>
      </w:pPr>
      <w:r>
        <w:rPr>
          <w:rFonts w:ascii="Prompt" w:hAnsi="Prompt" w:eastAsia="Prompt" w:cs="Prompt"/>
          <w:i w:val="0"/>
          <w:color w:val="1C2730"/>
          <w:sz w:val="18"/>
        </w:rPr>
        <w:t>The solution-development information set is organized using ISO/IEC/IEEE 29148:2018 for requirements, ISO/IEC/IEEE 42010:2022 for architecture description, ISO/IEC/IEEE 12207:2026 for life-cycle processes, ISO/IEC/IEEE 15289:2019 for information items, ISO/IEC 25010:2023 for product quality and ISO/IEC/IEEE 29119-3:2021 for test documentation. Security, continuity, usability and quality-management controls reference ISO/IEC 27001:2022, ISO 22301:2019, ISO 9241-210:2019 and ISO 9001:2015 as applicable.</w:t>
      </w:r>
    </w:p>
    <w:p>
      <w:pPr>
        <w:spacing w:after="60"/>
      </w:pPr>
      <w:r>
        <w:rPr>
          <w:rFonts w:ascii="Prompt" w:hAnsi="Prompt" w:eastAsia="Prompt" w:cs="Prompt"/>
          <w:i w:val="0"/>
          <w:color w:val="1C2730"/>
          <w:sz w:val="18"/>
        </w:rPr>
        <w:t>References provide structure and review criteria only. Conformance or certification requires organizational scope, implemented controls, objective evidence, audit and authorized approval.</w:t>
      </w:r>
    </w:p>
    <w:p>
      <w:pPr>
        <w:pStyle w:val="Heading3"/>
        <w:keepNext/>
      </w:pPr>
      <w:r>
        <w:rPr>
          <w:rFonts w:ascii="Kanit" w:hAnsi="Kanit" w:eastAsia="Kanit" w:cs="Kanit"/>
          <w:b/>
          <w:color w:val="2B8C82"/>
          <w:sz w:val="23"/>
        </w:rPr>
        <w:t>12. Open gates before baseline</w:t>
      </w:r>
    </w:p>
    <w:p>
      <w:pPr>
        <w:pStyle w:val="ListBullet"/>
        <w:spacing w:after="40"/>
      </w:pPr>
      <w:r>
        <w:rPr>
          <w:rFonts w:ascii="Prompt" w:hAnsi="Prompt" w:eastAsia="Prompt" w:cs="Prompt"/>
          <w:color w:val="1C2730"/>
          <w:sz w:val="18"/>
        </w:rPr>
        <w:t>Business owner approval of requirements and role/accountability.</w:t>
      </w:r>
    </w:p>
    <w:p>
      <w:pPr>
        <w:pStyle w:val="ListBullet"/>
        <w:spacing w:after="40"/>
      </w:pPr>
      <w:r>
        <w:rPr>
          <w:rFonts w:ascii="Prompt" w:hAnsi="Prompt" w:eastAsia="Prompt" w:cs="Prompt"/>
          <w:color w:val="1C2730"/>
          <w:sz w:val="18"/>
        </w:rPr>
        <w:t>Technical/security approval of all direct WINSpeed write contracts.</w:t>
      </w:r>
    </w:p>
    <w:p>
      <w:pPr>
        <w:pStyle w:val="ListBullet"/>
        <w:spacing w:after="40"/>
      </w:pPr>
      <w:r>
        <w:rPr>
          <w:rFonts w:ascii="Prompt" w:hAnsi="Prompt" w:eastAsia="Prompt" w:cs="Prompt"/>
          <w:color w:val="1C2730"/>
          <w:sz w:val="18"/>
        </w:rPr>
        <w:t>Production-like TruckScale sync, real device and network failure evidence.</w:t>
      </w:r>
    </w:p>
    <w:p>
      <w:pPr>
        <w:pStyle w:val="ListBullet"/>
        <w:spacing w:after="40"/>
      </w:pPr>
      <w:r>
        <w:rPr>
          <w:rFonts w:ascii="Prompt" w:hAnsi="Prompt" w:eastAsia="Prompt" w:cs="Prompt"/>
          <w:color w:val="1C2730"/>
          <w:sz w:val="18"/>
        </w:rPr>
        <w:t>Printing, QR scanning, custody and retention validation.</w:t>
      </w:r>
    </w:p>
    <w:p>
      <w:pPr>
        <w:pStyle w:val="ListBullet"/>
        <w:spacing w:after="40"/>
      </w:pPr>
      <w:r>
        <w:rPr>
          <w:rFonts w:ascii="Prompt" w:hAnsi="Prompt" w:eastAsia="Prompt" w:cs="Prompt"/>
          <w:color w:val="1C2730"/>
          <w:sz w:val="18"/>
        </w:rPr>
        <w:t>Performance/capacity and database query-plan evidence.</w:t>
      </w:r>
    </w:p>
    <w:p>
      <w:pPr>
        <w:pStyle w:val="ListBullet"/>
        <w:spacing w:after="40"/>
      </w:pPr>
      <w:r>
        <w:rPr>
          <w:rFonts w:ascii="Prompt" w:hAnsi="Prompt" w:eastAsia="Prompt" w:cs="Prompt"/>
          <w:color w:val="1C2730"/>
          <w:sz w:val="18"/>
        </w:rPr>
        <w:t>Backup restore, deployment rollback/forward-fix and operational alert evidence.</w:t>
      </w:r>
    </w:p>
    <w:p>
      <w:pPr>
        <w:pStyle w:val="ListBullet"/>
        <w:spacing w:after="40"/>
      </w:pPr>
      <w:r>
        <w:rPr>
          <w:rFonts w:ascii="Prompt" w:hAnsi="Prompt" w:eastAsia="Prompt" w:cs="Prompt"/>
          <w:color w:val="1C2730"/>
          <w:sz w:val="18"/>
        </w:rPr>
        <w:t>Manual UAT/defect disposition and signed release readiness.</w:t>
      </w:r>
    </w:p>
    <w:p>
      <w:r>
        <w:br w:type="page"/>
      </w:r>
    </w:p>
    <w:p>
      <w:pPr>
        <w:pStyle w:val="Heading1"/>
        <w:keepNext/>
      </w:pPr>
      <w:r>
        <w:rPr>
          <w:rFonts w:ascii="Kanit" w:hAnsi="Kanit" w:eastAsia="Kanit" w:cs="Kanit"/>
          <w:b/>
          <w:color w:val="15334A"/>
          <w:sz w:val="34"/>
        </w:rPr>
        <w:t>API Reference — Current Source Contract</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docs/enterprise/04-DATA-INTEGRATION/API-REFERENCE.md · SHA-256 FC051E970DCEFAC17EAE616E2BF9150A65C8ADC81C397462F5A8A5B96DFEE245 · merged as Review content</w:t>
            </w:r>
          </w:p>
        </w:tc>
      </w:tr>
    </w:tbl>
    <w:p>
      <w:pPr>
        <w:spacing w:after="0" w:line="96" w:lineRule="auto"/>
      </w:pPr>
    </w:p>
    <w:p>
      <w:pPr>
        <w:pStyle w:val="Heading3"/>
        <w:keepNext/>
      </w:pPr>
      <w:r>
        <w:rPr>
          <w:rFonts w:ascii="Kanit" w:hAnsi="Kanit" w:eastAsia="Kanit" w:cs="Kanit"/>
          <w:b/>
          <w:color w:val="2B8C82"/>
          <w:sz w:val="23"/>
        </w:rPr>
        <w:t>API conventions</w:t>
      </w:r>
    </w:p>
    <w:p>
      <w:pPr>
        <w:pStyle w:val="ListBullet"/>
        <w:spacing w:after="40"/>
      </w:pPr>
      <w:r>
        <w:rPr>
          <w:rFonts w:ascii="Prompt" w:hAnsi="Prompt" w:eastAsia="Prompt" w:cs="Prompt"/>
          <w:color w:val="1C2730"/>
          <w:sz w:val="18"/>
        </w:rPr>
        <w:t>Base path: /api</w:t>
      </w:r>
    </w:p>
    <w:p>
      <w:pPr>
        <w:pStyle w:val="ListBullet"/>
        <w:spacing w:after="40"/>
      </w:pPr>
      <w:r>
        <w:rPr>
          <w:rFonts w:ascii="Prompt" w:hAnsi="Prompt" w:eastAsia="Prompt" w:cs="Prompt"/>
          <w:color w:val="1C2730"/>
          <w:sz w:val="18"/>
        </w:rPr>
        <w:t>Route parameters use Express notation เช่น :id; client ต้องแทนด้วยค่าจริง</w:t>
      </w:r>
    </w:p>
    <w:p>
      <w:pPr>
        <w:pStyle w:val="ListBullet"/>
        <w:spacing w:after="40"/>
      </w:pPr>
      <w:r>
        <w:rPr>
          <w:rFonts w:ascii="Prompt" w:hAnsi="Prompt" w:eastAsia="Prompt" w:cs="Prompt"/>
          <w:color w:val="1C2730"/>
          <w:sz w:val="18"/>
        </w:rPr>
        <w:t>Protected routes use bearer authentication and route-level authorization ตาม implementation ของแต่ละ module</w:t>
      </w:r>
    </w:p>
    <w:p>
      <w:pPr>
        <w:pStyle w:val="ListBullet"/>
        <w:spacing w:after="40"/>
      </w:pPr>
      <w:r>
        <w:rPr>
          <w:rFonts w:ascii="Prompt" w:hAnsi="Prompt" w:eastAsia="Prompt" w:cs="Prompt"/>
          <w:color w:val="1C2730"/>
          <w:sz w:val="18"/>
        </w:rPr>
        <w:t>ตารางนี้รับรองเฉพาะ method/path/source evidence; DTO, roles, error shape และ idempotency ต้องตรวจต่อจาก route/schema/test ก่อนยกระดับเป็น Approved contract</w:t>
      </w:r>
    </w:p>
    <w:p>
      <w:pPr>
        <w:pStyle w:val="Heading3"/>
        <w:keepNext/>
      </w:pPr>
      <w:r>
        <w:rPr>
          <w:rFonts w:ascii="Kanit" w:hAnsi="Kanit" w:eastAsia="Kanit" w:cs="Kanit"/>
          <w:b/>
          <w:color w:val="2B8C82"/>
          <w:sz w:val="23"/>
        </w:rPr>
        <w:t>Current source-derived endpoint inventory</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1B6B88"/>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Source note  </w:t>
            </w:r>
            <w:r>
              <w:rPr>
                <w:rFonts w:ascii="Prompt" w:hAnsi="Prompt" w:eastAsia="Prompt" w:cs="Prompt"/>
                <w:b w:val="0"/>
                <w:color w:val="1C2730"/>
                <w:sz w:val="18"/>
              </w:rPr>
              <w:t>ส่วนนี้สร้างจาก Express route source โดยอัตโนมัติ ห้ามแก้ตารางด้วยมือ; ให้รัน ../pipeline/source.ps1 sync-api หลัง route เปลี่ยน</w:t>
            </w:r>
          </w:p>
        </w:tc>
      </w:tr>
    </w:tbl>
    <w:p>
      <w:pPr>
        <w:spacing w:after="0" w:line="96" w:lineRule="auto"/>
      </w:pPr>
    </w:p>
    <w:p>
      <w:pPr>
        <w:pStyle w:val="ListBullet"/>
        <w:spacing w:after="40"/>
      </w:pPr>
      <w:r>
        <w:rPr>
          <w:rFonts w:ascii="Prompt" w:hAnsi="Prompt" w:eastAsia="Prompt" w:cs="Prompt"/>
          <w:color w:val="1C2730"/>
          <w:sz w:val="18"/>
        </w:rPr>
        <w:t>Source inventory: 12B9F964C7C90341859EDD6CDDE9B92BA35D797347F2AA64A1134E1E885FC343</w:t>
      </w:r>
    </w:p>
    <w:p>
      <w:pPr>
        <w:pStyle w:val="ListBullet"/>
        <w:spacing w:after="40"/>
      </w:pPr>
      <w:r>
        <w:rPr>
          <w:rFonts w:ascii="Prompt" w:hAnsi="Prompt" w:eastAsia="Prompt" w:cs="Prompt"/>
          <w:color w:val="1C2730"/>
          <w:sz w:val="18"/>
        </w:rPr>
        <w:t>Route modules: 17</w:t>
      </w:r>
    </w:p>
    <w:p>
      <w:pPr>
        <w:pStyle w:val="ListBullet"/>
        <w:spacing w:after="40"/>
      </w:pPr>
      <w:r>
        <w:rPr>
          <w:rFonts w:ascii="Prompt" w:hAnsi="Prompt" w:eastAsia="Prompt" w:cs="Prompt"/>
          <w:color w:val="1C2730"/>
          <w:sz w:val="18"/>
        </w:rPr>
        <w:t>Endpoints: 160</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848"/>
        <w:gridCol w:w="4270"/>
        <w:gridCol w:w="3521"/>
      </w:tblGrid>
      <w:tr>
        <w:trPr>
          <w:tblHeader w:val="true"/>
          <w:cantSplit/>
        </w:trPr>
        <w:tc>
          <w:tcPr>
            <w:tcW w:type="dxa" w:w="1848"/>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Method</w:t>
            </w:r>
          </w:p>
        </w:tc>
        <w:tc>
          <w:tcPr>
            <w:tcW w:type="dxa" w:w="4270"/>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Current path</w:t>
            </w:r>
          </w:p>
        </w:tc>
        <w:tc>
          <w:tcPr>
            <w:tcW w:type="dxa" w:w="3521"/>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Source evidence</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/api/auth/access-as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backend/routes/auth.js:408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/api/auth/access-as/candidates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backend/routes/auth.js:383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/api/auth/access-as/stop</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backend/routes/auth.js:436</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/api/auth/line/callback</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backend/routes/auth.js:243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/api/auth/line/link</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backend/routes/auth.js:308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/api/auth/line/start</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backend/routes/auth.js:229</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/api/auth/line/status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backend/routes/auth.js:377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/api/auth/login</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backend/routes/auth.js:202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/api/auth/me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backend/routes/auth.js:454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/api/auth/profile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backend/routes/auth.js:468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/api/auth/profile/password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backend/routes/auth.js:489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/api/auth/profile/signature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backend/routes/auth.js:511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/api/auth/users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backend/routes/auth.js:552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/api/auth/users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backend/routes/auth.js:526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/api/auth/users/:id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backend/routes/auth.js:610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/api/auth/users/:id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backend/routes/auth.js:571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/api/credit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backend/routes/credit.js:12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/api/credit/:custId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backend/routes/credit.js:23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/api/credit/:custId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backend/routes/credit.js:32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/api/giveaway/available-lenders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backend/routes/giveaway.js:153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/api/giveaway/borrow-requests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backend/routes/giveaway.js:199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/api/giveaway/borrow-requests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backend/routes/giveaway.js:175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/api/giveaway/borrow-requests/:id/resolve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backend/routes/giveaway.js:217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/api/giveaway/budget-lines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backend/routes/giveaway.js:36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/api/giveaway/budgets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backend/routes/giveaway.js:118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/api/giveaway/items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backend/routes/giveaway.js:66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/api/giveaway/my-quota</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backend/routes/giveaway.js:141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/api/giveaway/regions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backend/routes/giveaway.js:15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/api/giveaway/withdrawals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backend/routes/giveaway.js:50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/api/giveaway/withdrawals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backend/routes/giveaway.js:77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/api/line/notify</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backend/routes/line.js:42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/api/line/status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backend/routes/line.js:52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/api/line/webhook</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backend/routes/line.js:14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/api/master/aging</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backend/routes/master.js:835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/api/master/aging/search</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backend/routes/master.js:909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/api/master/control-tickets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backend/routes/master.js:576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/api/master/control-tickets/:docuNo</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backend/routes/master.js:662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/api/master/control-tickets/:docuNo/draws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backend/routes/master.js:702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/api/master/customer-filters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backend/routes/master.js:64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/api/master/customer-requests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backend/routes/master.js:124</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/api/master/customer-requests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backend/routes/master.js:145</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/api/master/customer-requests/:id/review</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backend/routes/master.js:172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backend/routes/master.js:78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/api/master/customers/:id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backend/routes/master.js:236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/api/master/customers/:id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backend/routes/master.js:200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/api/master/employees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backend/routes/master.js:371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/api/master/giveaway-goods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backend/routes/master.js:352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/api/master/goods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backend/routes/master.js:247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/api/master/goods/:id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backend/routes/master.js:341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/api/master/goods/:id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backend/routes/master.js:306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/api/master/invoices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backend/routes/master.js:809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/api/master/prices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backend/routes/master.js:386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/api/master/prices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backend/routes/master.js:417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/api/master/prices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backend/routes/master.js:457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/api/master/prices/bulk-extend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backend/routes/master.js:512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/api/master/transports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backend/routes/master.js:281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/api/master/truck-plates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backend/routes/master.js:723</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/api/master/truck-types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backend/routes/master.js:1018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/api/master/truck-types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backend/routes/master.js:1031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/api/master/truck-types/:id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backend/routes/master.js:1074</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/api/master/truck-types/:id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backend/routes/master.js:1051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/api/master/trucks-stats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backend/routes/master.js:740</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/api/master/trucks/:plate/history</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backend/routes/master.js:778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/api/ops/errors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backend/routes/ops.js:25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/api/ops/outbox</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backend/routes/ops.js:38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/api/ops/status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backend/routes/ops.js:14</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/api/ops/test-alert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backend/routes/ops.js:48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/api/papertrail/:soId/copies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backend/routes/papertrail.js:156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/api/papertrail/:soId/print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backend/routes/papertrail.js:168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/api/papertrail/board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backend/routes/papertrail.js:26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/api/papertrail/document/:soId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backend/routes/papertrail.js:136</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/api/papertrail/lost</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backend/routes/papertrail.js:253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/api/papertrail/scan</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backend/routes/papertrail.js:206</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/api/papertrail/scan/:qrNonce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backend/routes/papertrail.js:238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/api/pdpa/dsar</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backend/routes/pdpa.js:34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/api/pdpa/dsar/export</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backend/routes/pdpa.js:43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/api/pdpa/policies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backend/routes/pdpa.js:14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/api/pdpa/policies/:id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backend/routes/pdpa.js:22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/api/pdpa/retention/run</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backend/routes/pdpa.js:71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/api/policy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backend/routes/policy.js:13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/api/policy</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backend/routes/policy.js:37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/api/policy/:id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backend/routes/policy.js:82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/api/policy/:id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backend/routes/policy.js:60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/api/policy/resolve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backend/routes/policy.js:28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backend/routes/pricebook.js:22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backend/routes/pricebook.js:54</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backend/routes/pricebook.js:40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/api/pricebook/:id/activate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backend/routes/pricebook.js:132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/api/pricebook/:id/approve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backend/routes/pricebook.js:131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/api/pricebook/:id/archive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backend/routes/pricebook.js:133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/api/pricebook/:id/lines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backend/routes/pricebook.js:90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backend/routes/quotation.js:888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backend/routes/quotation.js:1069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backend/routes/quotation.js:1005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/api/quotation/:id/convert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backend/routes/quotation.js:1417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/api/quotation/:id/status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backend/routes/quotation.js:1341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/api/quotation/:id/valid-until</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backend/routes/quotation.js:1399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/api/quotation/from-so-trip</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backend/routes/quotation.js:1118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/api/rebate/claims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backend/routes/rebate.js:67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/api/rebate/claims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backend/routes/rebate.js:93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/api/rebate/claims/:id/approve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backend/routes/rebate.js:151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/api/rebate/cn-detail/:soInvId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backend/routes/rebate.js:681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/api/rebate/cn-list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backend/routes/rebate.js:645</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/api/rebate/cn-summary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backend/routes/rebate.js:616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/api/rebate/coupons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backend/routes/rebate.js:728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/api/rebate/coupons/:custId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backend/routes/rebate.js:755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/api/rebate/ledger</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backend/routes/rebate.js:42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/api/rebate/migrate-legacy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backend/routes/rebate.js:329</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/api/rebate/plans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backend/routes/rebate.js:196</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/api/rebate/plans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backend/routes/rebate.js:215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/api/rebate/plans/:id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backend/routes/rebate.js:250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/api/rebate/plans/:id/allocate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backend/routes/rebate.js:277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/api/rebate/pools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backend/routes/rebate.js:12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/api/rebate/summary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backend/routes/rebate.js:167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/api/rebate/sync-mirror</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backend/routes/rebate.js:703</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/api/rebate/voucher-summary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backend/routes/rebate.js:309</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/api/rebate/wf-trail-detail/:soId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backend/routes/rebate.js:521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/api/rebate/wf-trail-list</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backend/routes/rebate.js:463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/api/rebate/wf-trail-summary</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backend/routes/rebate.js:424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/api/recon/:soId/resolve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backend/routes/recon.js:169</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/api/recon/cases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backend/routes/recon.js:160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/api/recon/summary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backend/routes/recon.js:143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/api/reports/:type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backend/routes/reports.js:134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/api/reports/:type/export</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backend/routes/reports.js:143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/api/reports/types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backend/routes/reports.js:121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backend/routes/so.js:475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backend/routes/so.js:958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backend/routes/so.js:1745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backend/routes/so.js:889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backend/routes/so.js:1149</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/api/so/:id/cancel</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backend/routes/so.js:1710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/api/so/:id/confirm</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backend/routes/so.js:1389</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/api/so/:id/giveaway-lines/:lineNum/approve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backend/routes/so.js:922</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/api/so/:id/load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backend/routes/so.js:1637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/api/so/:id/picking</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backend/routes/so.js:1575</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/api/so/:id/ship</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backend/routes/so.js:1661</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/api/so/:id/sync-imported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backend/routes/so.js:1705</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/api/so/:id/unlock</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backend/routes/so.js:1586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/api/so/:id/unlock-request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backend/routes/so.js:1606</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/api/so/:id/verify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backend/routes/so.js:1378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/api/so/:id/weigh</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backend/routes/so.js:880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/api/so/debug-sohd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backend/routes/so.js:767</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/api/so/rebate-balance/:custId</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backend/routes/so.js:751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/api/so/shipped-today</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backend/routes/so.js:776</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/api/so/stats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backend/routes/so.js:328</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DELETE</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/api/so/stats/cache</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backend/routes/so.js:323</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/api/so/unlock-reasons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backend/routes/so.js:801</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/api/so/unlock-requests</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backend/routes/so.js:820</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PATCH</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/api/so/unlock-requests/:reqId/resolve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backend/routes/so.js:837</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/api/stock</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backend/routes/stock.js:12</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/api/stock</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backend/routes/stock.js:23</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/api/truckscale/for-so/:soId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backend/routes/truckscale.js:75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/api/truckscale/inbox</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backend/routes/truckscale.js:130</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/api/truckscale/inbox/:id/match/:soId</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backend/routes/truckscale.js:168</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/api/truckscale/ingest</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backend/routes/truckscale.js:16</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/api/truckscale/ping</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backend/routes/truckscale.js:35</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/api/truckscale/scale/:sequence</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backend/routes/truckscale.js:59</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POST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/api/truckscale/sync/run</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backend/routes/truckscale.js:124</w:t>
            </w:r>
          </w:p>
        </w:tc>
      </w:tr>
      <w:tr>
        <w:trPr>
          <w:cantSplit/>
        </w:trPr>
        <w:tc>
          <w:tcPr>
            <w:tcW w:type="dxa" w:w="18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/api/truckscale/sync/status</w:t>
            </w:r>
          </w:p>
        </w:tc>
        <w:tc>
          <w:tcPr>
            <w:tcW w:type="dxa" w:w="352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backend/routes/truckscale.js:114</w:t>
            </w:r>
          </w:p>
        </w:tc>
      </w:tr>
      <w:tr>
        <w:trPr>
          <w:cantSplit/>
        </w:trPr>
        <w:tc>
          <w:tcPr>
            <w:tcW w:type="dxa" w:w="18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GET</w:t>
            </w:r>
          </w:p>
        </w:tc>
        <w:tc>
          <w:tcPr>
            <w:tcW w:type="dxa" w:w="427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/api/truckscale/weigh</w:t>
            </w:r>
          </w:p>
        </w:tc>
        <w:tc>
          <w:tcPr>
            <w:tcW w:type="dxa" w:w="352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backend/routes/truckscale.js:45</w:t>
            </w:r>
          </w:p>
        </w:tc>
      </w:tr>
    </w:tbl>
    <w:p>
      <w:pPr>
        <w:pStyle w:val="Heading3"/>
        <w:keepNext/>
      </w:pPr>
      <w:r>
        <w:rPr>
          <w:rFonts w:ascii="Kanit" w:hAnsi="Kanit" w:eastAsia="Kanit" w:cs="Kanit"/>
          <w:b/>
          <w:color w:val="2B8C82"/>
          <w:sz w:val="23"/>
        </w:rPr>
        <w:t>Verification status</w:t>
      </w:r>
    </w:p>
    <w:p>
      <w:pPr>
        <w:pStyle w:val="ListBullet"/>
        <w:spacing w:after="40"/>
      </w:pPr>
      <w:r>
        <w:rPr>
          <w:rFonts w:ascii="Prompt" w:hAnsi="Prompt" w:eastAsia="Prompt" w:cs="Prompt"/>
          <w:color w:val="1C2730"/>
          <w:sz w:val="18"/>
        </w:rPr>
        <w:t>Endpoint inventory: generated from current Express route mounts</w:t>
      </w:r>
    </w:p>
    <w:p>
      <w:pPr>
        <w:pStyle w:val="ListBullet"/>
        <w:spacing w:after="40"/>
      </w:pPr>
      <w:r>
        <w:rPr>
          <w:rFonts w:ascii="Prompt" w:hAnsi="Prompt" w:eastAsia="Prompt" w:cs="Prompt"/>
          <w:color w:val="1C2730"/>
          <w:sz w:val="18"/>
        </w:rPr>
        <w:t>Source snapshot: embedded in the generated block and checked by source preflight</w:t>
      </w:r>
    </w:p>
    <w:p>
      <w:pPr>
        <w:pStyle w:val="ListBullet"/>
        <w:spacing w:after="40"/>
      </w:pPr>
      <w:r>
        <w:rPr>
          <w:rFonts w:ascii="Prompt" w:hAnsi="Prompt" w:eastAsia="Prompt" w:cs="Prompt"/>
          <w:color w:val="1C2730"/>
          <w:sz w:val="18"/>
        </w:rPr>
        <w:t>Automated E2E evidence: PASSED_COMPLETE (10/10) และ source-bound ตาม test-results/e2e-evidence.json; อย่างไรก็ตาม endpoint presence และ automated flow ไม่ใช้แทน security test หรือ business UAT sign-off</w:t>
      </w:r>
    </w:p>
    <w:p>
      <w:pPr>
        <w:pStyle w:val="ListBullet"/>
        <w:spacing w:after="40"/>
      </w:pPr>
      <w:r>
        <w:rPr>
          <w:rFonts w:ascii="Prompt" w:hAnsi="Prompt" w:eastAsia="Prompt" w:cs="Prompt"/>
          <w:color w:val="1C2730"/>
          <w:sz w:val="18"/>
        </w:rPr>
        <w:t>Release use: ต้องผ่าน source alignment, document validation, accepted baselines และ full test loop ก่อน</w:t>
      </w:r>
    </w:p>
    <w:p>
      <w:r>
        <w:br w:type="page"/>
      </w:r>
    </w:p>
    <w:p>
      <w:pPr>
        <w:pStyle w:val="Heading1"/>
        <w:keepNext/>
      </w:pPr>
      <w:r>
        <w:rPr>
          <w:rFonts w:ascii="Kanit" w:hAnsi="Kanit" w:eastAsia="Kanit" w:cs="Kanit"/>
          <w:b/>
          <w:color w:val="15334A"/>
          <w:sz w:val="34"/>
        </w:rPr>
        <w:t>00 — ภาพรวมฐานข้อมูล &amp; การ Mapping (Database Overview &amp; Mapping)</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docs/enterprise/04-DATA-INTEGRATION/DATABASE-OVERVIEW.md · SHA-256 FDE4E30AB4944A73C973A3AB26E3D4787D0DB6159994BB7146C759C82D95D9BB · merged as Review content</w:t>
            </w:r>
          </w:p>
        </w:tc>
      </w:tr>
    </w:tbl>
    <w:p>
      <w:pPr>
        <w:spacing w:after="0" w:line="96" w:lineRule="auto"/>
      </w:pPr>
    </w:p>
    <w:p>
      <w:pPr>
        <w:pStyle w:val="Heading3"/>
        <w:keepNext/>
      </w:pPr>
      <w:r>
        <w:rPr>
          <w:rFonts w:ascii="Kanit" w:hAnsi="Kanit" w:eastAsia="Kanit" w:cs="Kanit"/>
          <w:b/>
          <w:color w:val="2B8C82"/>
          <w:sz w:val="23"/>
        </w:rPr>
        <w:t>สารบัญ</w:t>
      </w:r>
    </w:p>
    <w:p>
      <w:pPr>
        <w:pStyle w:val="ListNumber"/>
        <w:numPr>
          <w:numId w:val="10"/>
        </w:numPr>
        <w:spacing w:after="40"/>
      </w:pPr>
      <w:r>
        <w:rPr>
          <w:rFonts w:ascii="Prompt" w:hAnsi="Prompt" w:eastAsia="Prompt" w:cs="Prompt"/>
          <w:color w:val="1C2730"/>
          <w:sz w:val="18"/>
        </w:rPr>
        <w:t>ระบบฐานข้อมูล 3 แหล่ง</w:t>
      </w:r>
    </w:p>
    <w:p>
      <w:pPr>
        <w:pStyle w:val="ListNumber"/>
        <w:numPr>
          <w:numId w:val="10"/>
        </w:numPr>
        <w:spacing w:after="40"/>
      </w:pPr>
      <w:r>
        <w:rPr>
          <w:rFonts w:ascii="Prompt" w:hAnsi="Prompt" w:eastAsia="Prompt" w:cs="Prompt"/>
          <w:color w:val="1C2730"/>
          <w:sz w:val="18"/>
        </w:rPr>
        <w:t>สถาปัตยกรรมการเชื่อมต่อ</w:t>
      </w:r>
    </w:p>
    <w:p>
      <w:pPr>
        <w:pStyle w:val="ListNumber"/>
        <w:numPr>
          <w:numId w:val="10"/>
        </w:numPr>
        <w:spacing w:after="40"/>
      </w:pPr>
      <w:r>
        <w:rPr>
          <w:rFonts w:ascii="Prompt" w:hAnsi="Prompt" w:eastAsia="Prompt" w:cs="Prompt"/>
          <w:color w:val="1C2730"/>
          <w:sz w:val="18"/>
        </w:rPr>
        <w:t>การ Mapping: WINSpeed ↔ App ↔ TruckScale</w:t>
      </w:r>
    </w:p>
    <w:p>
      <w:pPr>
        <w:pStyle w:val="ListNumber"/>
        <w:numPr>
          <w:numId w:val="10"/>
        </w:numPr>
        <w:spacing w:after="40"/>
      </w:pPr>
      <w:r>
        <w:rPr>
          <w:rFonts w:ascii="Prompt" w:hAnsi="Prompt" w:eastAsia="Prompt" w:cs="Prompt"/>
          <w:color w:val="1C2730"/>
          <w:sz w:val="18"/>
        </w:rPr>
        <w:t>Data Dictionary — schema wf</w:t>
      </w:r>
    </w:p>
    <w:p>
      <w:pPr>
        <w:pStyle w:val="ListNumber"/>
        <w:numPr>
          <w:numId w:val="10"/>
        </w:numPr>
        <w:spacing w:after="40"/>
      </w:pPr>
      <w:r>
        <w:rPr>
          <w:rFonts w:ascii="Prompt" w:hAnsi="Prompt" w:eastAsia="Prompt" w:cs="Prompt"/>
          <w:color w:val="1C2730"/>
          <w:sz w:val="18"/>
        </w:rPr>
        <w:t>Data Dictionary — dbo (WINSpeed, READ-ONLY)</w:t>
      </w:r>
    </w:p>
    <w:p>
      <w:pPr>
        <w:pStyle w:val="ListNumber"/>
        <w:numPr>
          <w:numId w:val="10"/>
        </w:numPr>
        <w:spacing w:after="40"/>
      </w:pPr>
      <w:r>
        <w:rPr>
          <w:rFonts w:ascii="Prompt" w:hAnsi="Prompt" w:eastAsia="Prompt" w:cs="Prompt"/>
          <w:color w:val="1C2730"/>
          <w:sz w:val="18"/>
        </w:rPr>
        <w:t>Data Dictionary — TruckScale (MySQL, controlled boundary)</w:t>
      </w:r>
    </w:p>
    <w:p>
      <w:pPr>
        <w:pStyle w:val="ListNumber"/>
        <w:numPr>
          <w:numId w:val="10"/>
        </w:numPr>
        <w:spacing w:after="40"/>
      </w:pPr>
      <w:r>
        <w:rPr>
          <w:rFonts w:ascii="Prompt" w:hAnsi="Prompt" w:eastAsia="Prompt" w:cs="Prompt"/>
          <w:color w:val="1C2730"/>
          <w:sz w:val="18"/>
        </w:rPr>
        <w:t>หลักการสำคัญ (Iron Rules)</w:t>
      </w:r>
    </w:p>
    <w:p>
      <w:pPr>
        <w:pStyle w:val="Heading3"/>
        <w:keepNext/>
      </w:pPr>
      <w:r>
        <w:rPr>
          <w:rFonts w:ascii="Kanit" w:hAnsi="Kanit" w:eastAsia="Kanit" w:cs="Kanit"/>
          <w:b/>
          <w:color w:val="2B8C82"/>
          <w:sz w:val="23"/>
        </w:rPr>
        <w:t>1. ระบบฐานข้อมูล 3 แหล่ง</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743"/>
        <w:gridCol w:w="862"/>
        <w:gridCol w:w="1446"/>
        <w:gridCol w:w="2104"/>
        <w:gridCol w:w="1916"/>
        <w:gridCol w:w="2569"/>
      </w:tblGrid>
      <w:tr>
        <w:trPr>
          <w:tblHeader w:val="true"/>
          <w:cantSplit/>
        </w:trPr>
        <w:tc>
          <w:tcPr>
            <w:tcW w:type="dxa" w:w="74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w:t>
            </w:r>
          </w:p>
        </w:tc>
        <w:tc>
          <w:tcPr>
            <w:tcW w:type="dxa" w:w="86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ระบบ</w:t>
            </w:r>
          </w:p>
        </w:tc>
        <w:tc>
          <w:tcPr>
            <w:tcW w:type="dxa" w:w="144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Engine</w:t>
            </w:r>
          </w:p>
        </w:tc>
        <w:tc>
          <w:tcPr>
            <w:tcW w:type="dxa" w:w="210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ที่อยู่</w:t>
            </w:r>
          </w:p>
        </w:tc>
        <w:tc>
          <w:tcPr>
            <w:tcW w:type="dxa" w:w="191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สิทธิ์จาก App</w:t>
            </w:r>
          </w:p>
        </w:tc>
        <w:tc>
          <w:tcPr>
            <w:tcW w:type="dxa" w:w="256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ใช้ทำอะไร</w:t>
            </w:r>
          </w:p>
        </w:tc>
      </w:tr>
      <w:tr>
        <w:trPr>
          <w:cantSplit/>
        </w:trPr>
        <w:tc>
          <w:tcPr>
            <w:tcW w:type="dxa" w:w="74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1</w:t>
            </w:r>
          </w:p>
        </w:tc>
        <w:tc>
          <w:tcPr>
            <w:tcW w:type="dxa" w:w="86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WINSpeed (dbo)</w:t>
            </w:r>
          </w:p>
        </w:tc>
        <w:tc>
          <w:tcPr>
            <w:tcW w:type="dxa" w:w="144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SQL Server 2022</w:t>
            </w:r>
          </w:p>
        </w:tc>
        <w:tc>
          <w:tcPr>
            <w:tcW w:type="dxa" w:w="210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dbwins_worldfert9 (20.255.185.14 remote / SQLEXPRESS local)</w:t>
            </w:r>
          </w:p>
        </w:tc>
        <w:tc>
          <w:tcPr>
            <w:tcW w:type="dxa" w:w="191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READ (+เขียน SOHD/SODT ตรงตอน confirm/ship — ดู §7)</w:t>
            </w:r>
          </w:p>
        </w:tc>
        <w:tc>
          <w:tcPr>
            <w:tcW w:type="dxa" w:w="25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ERP หลัก: master, ใบสั่งขาย, ใบกำกับ, GL, WF Rebate Trail, คูปอง</w:t>
            </w:r>
          </w:p>
        </w:tc>
      </w:tr>
      <w:tr>
        <w:trPr>
          <w:cantSplit/>
        </w:trPr>
        <w:tc>
          <w:tcPr>
            <w:tcW w:type="dxa" w:w="74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2</w:t>
            </w:r>
          </w:p>
        </w:tc>
        <w:tc>
          <w:tcPr>
            <w:tcW w:type="dxa" w:w="86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App (wf schema)</w:t>
            </w:r>
          </w:p>
        </w:tc>
        <w:tc>
          <w:tcPr>
            <w:tcW w:type="dxa" w:w="144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SQL Server 2022 (DB เดียวกับ dbo)</w:t>
            </w:r>
          </w:p>
        </w:tc>
        <w:tc>
          <w:tcPr>
            <w:tcW w:type="dxa" w:w="210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schema wf ใน dbwins_worldfert9</w:t>
            </w:r>
          </w:p>
        </w:tc>
        <w:tc>
          <w:tcPr>
            <w:tcW w:type="dxa" w:w="191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READ-WRITE</w:t>
            </w:r>
          </w:p>
        </w:tc>
        <w:tc>
          <w:tcPr>
            <w:tcW w:type="dxa" w:w="25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ข้อมูลที่ WINSpeed ไม่มี: SO state, Rebate Plan/Pool/Ledger, Giveaway, Paper Trail, WeighTicket, Quotation, Unlock</w:t>
            </w:r>
          </w:p>
        </w:tc>
      </w:tr>
      <w:tr>
        <w:trPr>
          <w:cantSplit/>
        </w:trPr>
        <w:tc>
          <w:tcPr>
            <w:tcW w:type="dxa" w:w="7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3</w:t>
            </w:r>
          </w:p>
        </w:tc>
        <w:tc>
          <w:tcPr>
            <w:tcW w:type="dxa" w:w="86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TruckScale</w:t>
            </w:r>
          </w:p>
        </w:tc>
        <w:tc>
          <w:tcPr>
            <w:tcW w:type="dxa" w:w="144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MySQL 5.7</w:t>
            </w:r>
          </w:p>
        </w:tc>
        <w:tc>
          <w:tcPr>
            <w:tcW w:type="dxa" w:w="210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db_truckscale (Railway cloud: reseau.proxy.rlwy.net:42508)</w:t>
            </w:r>
          </w:p>
        </w:tc>
        <w:tc>
          <w:tcPr>
            <w:tcW w:type="dxa" w:w="191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READ</w:t>
            </w:r>
          </w:p>
        </w:tc>
        <w:tc>
          <w:tcPr>
            <w:tcW w:type="dxa" w:w="256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เครื่องชั่งน้ำหนักรถ: น้ำหนักเข้า/ออก/สุทธิ (403,908 ใบชั่ง)</w:t>
            </w:r>
          </w:p>
        </w:tc>
      </w:tr>
    </w:tbl>
    <w:p>
      <w:pPr>
        <w:spacing w:after="60"/>
      </w:pPr>
      <w:r>
        <w:rPr>
          <w:rFonts w:ascii="Prompt" w:hAnsi="Prompt" w:eastAsia="Prompt" w:cs="Prompt"/>
          <w:i w:val="0"/>
          <w:color w:val="1C2730"/>
          <w:sz w:val="18"/>
        </w:rPr>
        <w:t>ข้อสังเกต:</w:t>
      </w:r>
    </w:p>
    <w:p>
      <w:pPr>
        <w:pStyle w:val="ListBullet"/>
        <w:spacing w:after="40"/>
      </w:pPr>
      <w:r>
        <w:rPr>
          <w:rFonts w:ascii="Prompt" w:hAnsi="Prompt" w:eastAsia="Prompt" w:cs="Prompt"/>
          <w:color w:val="1C2730"/>
          <w:sz w:val="18"/>
        </w:rPr>
        <w:t>wf กับ dbo อยู่ใน SQL Server ฐานเดียวกัน → JOIN ข้าม schema ได้ตรง ไม่ต้อง sync/cache</w:t>
      </w:r>
    </w:p>
    <w:p>
      <w:pPr>
        <w:pStyle w:val="ListBullet"/>
        <w:spacing w:after="40"/>
      </w:pPr>
      <w:r>
        <w:rPr>
          <w:rFonts w:ascii="Prompt" w:hAnsi="Prompt" w:eastAsia="Prompt" w:cs="Prompt"/>
          <w:color w:val="1C2730"/>
          <w:sz w:val="18"/>
        </w:rPr>
        <w:t>TruckScale เป็น MySQL แยกระบบ → เชื่อมผ่าน connection pool ที่ 2 (mysql2) ไม่เกี่ยวกับ DB_MODE</w:t>
      </w:r>
    </w:p>
    <w:p>
      <w:pPr>
        <w:pStyle w:val="ListBullet"/>
        <w:spacing w:after="40"/>
      </w:pPr>
      <w:r>
        <w:rPr>
          <w:rFonts w:ascii="Prompt" w:hAnsi="Prompt" w:eastAsia="Prompt" w:cs="Prompt"/>
          <w:color w:val="1C2730"/>
          <w:sz w:val="18"/>
        </w:rPr>
        <w:t>DB_MODE (.env) = local | remote คุมเฉพาะ SQL Server (WINSpeed+wf) · ห้ามตั้ง DB_MODE=mysql</w:t>
      </w:r>
    </w:p>
    <w:p>
      <w:pPr>
        <w:pStyle w:val="Heading3"/>
        <w:keepNext/>
      </w:pPr>
      <w:r>
        <w:rPr>
          <w:rFonts w:ascii="Kanit" w:hAnsi="Kanit" w:eastAsia="Kanit" w:cs="Kanit"/>
          <w:b/>
          <w:color w:val="2B8C82"/>
          <w:sz w:val="23"/>
        </w:rPr>
        <w:t>2. สถาปัตยกรรมการเชื่อมต่อ</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Diagram source  </w:t>
            </w:r>
            <w:r>
              <w:rPr>
                <w:rFonts w:ascii="Prompt" w:hAnsi="Prompt" w:eastAsia="Prompt" w:cs="Prompt"/>
                <w:b w:val="0"/>
                <w:color w:val="1C2730"/>
                <w:sz w:val="18"/>
              </w:rPr>
              <w:t>Mermaid source is retained in Markdown; the reviewed high-resolution rendering is embedded in the figure section.</w:t>
            </w:r>
          </w:p>
        </w:tc>
      </w:tr>
    </w:tbl>
    <w:p>
      <w:pPr>
        <w:spacing w:after="0" w:line="96" w:lineRule="auto"/>
      </w:pPr>
    </w:p>
    <w:p>
      <w:pPr>
        <w:spacing w:after="60"/>
      </w:pPr>
      <w:r>
        <w:rPr>
          <w:rFonts w:ascii="Prompt" w:hAnsi="Prompt" w:eastAsia="Prompt" w:cs="Prompt"/>
          <w:i w:val="0"/>
          <w:color w:val="1C2730"/>
          <w:sz w:val="18"/>
        </w:rPr>
        <w:t>Pool ฝั่ง SQL Server: backend/db.js — dual pool (local = Windows Auth/msnodesqlv8, remote = SQL Auth/ODBC 17) เลือกต่อ request ผ่าน header X-DB-Target (AsyncLocalStorage) · helper: query() (reader), wfQuery() (owner — ใช้เกือบทุก endpoint เพื่อให้ตามปุ่มสลับ DB)</w:t>
      </w:r>
    </w:p>
    <w:p>
      <w:pPr>
        <w:spacing w:after="60"/>
      </w:pPr>
      <w:r>
        <w:rPr>
          <w:rFonts w:ascii="Prompt" w:hAnsi="Prompt" w:eastAsia="Prompt" w:cs="Prompt"/>
          <w:i w:val="0"/>
          <w:color w:val="1C2730"/>
          <w:sz w:val="18"/>
        </w:rPr>
        <w:t>Pool ฝั่ง MySQL: backend/services/truckscale-db.js — mysql2/promise pool · helper tsQuery()</w:t>
      </w:r>
    </w:p>
    <w:p>
      <w:pPr>
        <w:pStyle w:val="Heading3"/>
        <w:keepNext/>
      </w:pPr>
      <w:r>
        <w:rPr>
          <w:rFonts w:ascii="Kanit" w:hAnsi="Kanit" w:eastAsia="Kanit" w:cs="Kanit"/>
          <w:b/>
          <w:color w:val="2B8C82"/>
          <w:sz w:val="23"/>
        </w:rPr>
        <w:t>3. การ Mapping: WINSpeed ↔ App ↔ TruckScale</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Diagram source  </w:t>
            </w:r>
            <w:r>
              <w:rPr>
                <w:rFonts w:ascii="Prompt" w:hAnsi="Prompt" w:eastAsia="Prompt" w:cs="Prompt"/>
                <w:b w:val="0"/>
                <w:color w:val="1C2730"/>
                <w:sz w:val="18"/>
              </w:rPr>
              <w:t>Mermaid source is retained in Markdown; the reviewed high-resolution rendering is embedded in the figure section.</w:t>
            </w:r>
          </w:p>
        </w:tc>
      </w:tr>
    </w:tbl>
    <w:p>
      <w:pPr>
        <w:spacing w:after="0" w:line="96" w:lineRule="auto"/>
      </w:pPr>
    </w:p>
    <w:p>
      <w:pPr>
        <w:pStyle w:val="Heading4"/>
        <w:keepNext/>
      </w:pPr>
      <w:r>
        <w:rPr>
          <w:rFonts w:ascii="Kanit" w:hAnsi="Kanit" w:eastAsia="Kanit" w:cs="Kanit"/>
          <w:b/>
          <w:color w:val="1C2730"/>
          <w:sz w:val="21"/>
        </w:rPr>
        <w:t>3.1 App ↔ WINSpeed (dbo)</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644"/>
        <w:gridCol w:w="2552"/>
        <w:gridCol w:w="3306"/>
        <w:gridCol w:w="2143"/>
      </w:tblGrid>
      <w:tr>
        <w:trPr>
          <w:tblHeader w:val="true"/>
          <w:cantSplit/>
        </w:trPr>
        <w:tc>
          <w:tcPr>
            <w:tcW w:type="dxa" w:w="1644"/>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ความสัมพันธ์</w:t>
            </w:r>
          </w:p>
        </w:tc>
        <w:tc>
          <w:tcPr>
            <w:tcW w:type="dxa" w:w="2552"/>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App (wf)</w:t>
            </w:r>
          </w:p>
        </w:tc>
        <w:tc>
          <w:tcPr>
            <w:tcW w:type="dxa" w:w="3306"/>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WINSpeed (dbo)</w:t>
            </w:r>
          </w:p>
        </w:tc>
        <w:tc>
          <w:tcPr>
            <w:tcW w:type="dxa" w:w="2143"/>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Key</w:t>
            </w:r>
          </w:p>
        </w:tc>
      </w:tr>
      <w:tr>
        <w:trPr>
          <w:cantSplit/>
        </w:trPr>
        <w:tc>
          <w:tcPr>
            <w:tcW w:type="dxa" w:w="164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Master ลูกค้า</w:t>
            </w:r>
          </w:p>
        </w:tc>
        <w:tc>
          <w:tcPr>
            <w:tcW w:type="dxa" w:w="255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v_Customer</w:t>
            </w:r>
          </w:p>
        </w:tc>
        <w:tc>
          <w:tcPr>
            <w:tcW w:type="dxa" w:w="330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EMCust</w:t>
            </w:r>
          </w:p>
        </w:tc>
        <w:tc>
          <w:tcPr>
            <w:tcW w:type="dxa" w:w="21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CustID</w:t>
            </w:r>
          </w:p>
        </w:tc>
      </w:tr>
      <w:tr>
        <w:trPr>
          <w:cantSplit/>
        </w:trPr>
        <w:tc>
          <w:tcPr>
            <w:tcW w:type="dxa" w:w="16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Master สินค้า</w:t>
            </w:r>
          </w:p>
        </w:tc>
        <w:tc>
          <w:tcPr>
            <w:tcW w:type="dxa" w:w="255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v_FertGood</w:t>
            </w:r>
          </w:p>
        </w:tc>
        <w:tc>
          <w:tcPr>
            <w:tcW w:type="dxa" w:w="330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EMGood</w:t>
            </w:r>
          </w:p>
        </w:tc>
        <w:tc>
          <w:tcPr>
            <w:tcW w:type="dxa" w:w="21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GoodID</w:t>
            </w:r>
          </w:p>
        </w:tc>
      </w:tr>
      <w:tr>
        <w:trPr>
          <w:cantSplit/>
        </w:trPr>
        <w:tc>
          <w:tcPr>
            <w:tcW w:type="dxa" w:w="164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Native ใบเสนอราคา</w:t>
            </w:r>
          </w:p>
        </w:tc>
        <w:tc>
          <w:tcPr>
            <w:tcW w:type="dxa" w:w="255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wf.Quotation</w:t>
            </w:r>
          </w:p>
        </w:tc>
        <w:tc>
          <w:tcPr>
            <w:tcW w:type="dxa" w:w="330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SOHD/SODT DocuType 102 (QU) และ 113 (QC)</w:t>
            </w:r>
          </w:p>
        </w:tc>
        <w:tc>
          <w:tcPr>
            <w:tcW w:type="dxa" w:w="21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WinspeedQuoteSOID / WinspeedConfirmSOID</w:t>
            </w:r>
          </w:p>
        </w:tc>
      </w:tr>
      <w:tr>
        <w:trPr>
          <w:cantSplit/>
        </w:trPr>
        <w:tc>
          <w:tcPr>
            <w:tcW w:type="dxa" w:w="16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ราคา NET</w:t>
            </w:r>
          </w:p>
        </w:tc>
        <w:tc>
          <w:tcPr>
            <w:tcW w:type="dxa" w:w="255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v_CurrentPrice</w:t>
            </w:r>
          </w:p>
        </w:tc>
        <w:tc>
          <w:tcPr>
            <w:tcW w:type="dxa" w:w="330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EMSetPriceHD/DT</w:t>
            </w:r>
          </w:p>
        </w:tc>
        <w:tc>
          <w:tcPr>
            <w:tcW w:type="dxa" w:w="21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GoodID + เดือน</w:t>
            </w:r>
          </w:p>
        </w:tc>
      </w:tr>
      <w:tr>
        <w:trPr>
          <w:cantSplit/>
        </w:trPr>
        <w:tc>
          <w:tcPr>
            <w:tcW w:type="dxa" w:w="164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พนักงานขาย</w:t>
            </w:r>
          </w:p>
        </w:tc>
        <w:tc>
          <w:tcPr>
            <w:tcW w:type="dxa" w:w="255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AppUser.EmpId</w:t>
            </w:r>
          </w:p>
        </w:tc>
        <w:tc>
          <w:tcPr>
            <w:tcW w:type="dxa" w:w="330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EMEmp.EmpID</w:t>
            </w:r>
          </w:p>
        </w:tc>
        <w:tc>
          <w:tcPr>
            <w:tcW w:type="dxa" w:w="21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EmpID</w:t>
            </w:r>
          </w:p>
        </w:tc>
      </w:tr>
      <w:tr>
        <w:trPr>
          <w:cantSplit/>
        </w:trPr>
        <w:tc>
          <w:tcPr>
            <w:tcW w:type="dxa" w:w="16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ลูกค้า ↔ พนักงานขายที่ดูแล</w:t>
            </w:r>
          </w:p>
        </w:tc>
        <w:tc>
          <w:tcPr>
            <w:tcW w:type="dxa" w:w="255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customer RBAC / filters</w:t>
            </w:r>
          </w:p>
        </w:tc>
        <w:tc>
          <w:tcPr>
            <w:tcW w:type="dxa" w:w="330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EMCustMultiEmp.CustID ↔ EMCustMultiEmp.EmpID</w:t>
            </w:r>
          </w:p>
        </w:tc>
        <w:tc>
          <w:tcPr>
            <w:tcW w:type="dxa" w:w="21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CustID+EmpID</w:t>
            </w:r>
          </w:p>
        </w:tc>
      </w:tr>
      <w:tr>
        <w:trPr>
          <w:cantSplit/>
        </w:trPr>
        <w:tc>
          <w:tcPr>
            <w:tcW w:type="dxa" w:w="164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 ที่ confirm แล้ว</w:t>
            </w:r>
          </w:p>
        </w:tc>
        <w:tc>
          <w:tcPr>
            <w:tcW w:type="dxa" w:w="255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SalesOrderExt.SOID</w:t>
            </w:r>
          </w:p>
        </w:tc>
        <w:tc>
          <w:tcPr>
            <w:tcW w:type="dxa" w:w="330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SOHD.SOID (DocuType 103; WINSpeed WF menu อาจสร้าง/โยง DocuType 104 ภายหลัง)</w:t>
            </w:r>
          </w:p>
        </w:tc>
        <w:tc>
          <w:tcPr>
            <w:tcW w:type="dxa" w:w="21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SOID</w:t>
            </w:r>
          </w:p>
        </w:tc>
      </w:tr>
      <w:tr>
        <w:trPr>
          <w:cantSplit/>
        </w:trPr>
        <w:tc>
          <w:tcPr>
            <w:tcW w:type="dxa" w:w="16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บรรทัดสินค้า</w:t>
            </w:r>
          </w:p>
        </w:tc>
        <w:tc>
          <w:tcPr>
            <w:tcW w:type="dxa" w:w="255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SalesOrderLineExt.(SOID,ListNo)</w:t>
            </w:r>
          </w:p>
        </w:tc>
        <w:tc>
          <w:tcPr>
            <w:tcW w:type="dxa" w:w="330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SODT.(SOID,ListNo)</w:t>
            </w:r>
          </w:p>
        </w:tc>
        <w:tc>
          <w:tcPr>
            <w:tcW w:type="dxa" w:w="21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SOID+ListNo</w:t>
            </w:r>
          </w:p>
        </w:tc>
      </w:tr>
      <w:tr>
        <w:trPr>
          <w:cantSplit/>
        </w:trPr>
        <w:tc>
          <w:tcPr>
            <w:tcW w:type="dxa" w:w="164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ตั๋วคุม</w:t>
            </w:r>
          </w:p>
        </w:tc>
        <w:tc>
          <w:tcPr>
            <w:tcW w:type="dxa" w:w="255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v_ControlTicket / SalesOrderLine.RefControlTicketNo</w:t>
            </w:r>
          </w:p>
        </w:tc>
        <w:tc>
          <w:tcPr>
            <w:tcW w:type="dxa" w:w="330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SOHD.AppvDocuNo (AI..., DocuType 103)</w:t>
            </w:r>
          </w:p>
        </w:tc>
        <w:tc>
          <w:tcPr>
            <w:tcW w:type="dxa" w:w="21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AppvDocuNo</w:t>
            </w:r>
          </w:p>
        </w:tc>
      </w:tr>
      <w:tr>
        <w:trPr>
          <w:cantSplit/>
        </w:trPr>
        <w:tc>
          <w:tcPr>
            <w:tcW w:type="dxa" w:w="16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WF Rebate Trail (ประวัติ)</w:t>
            </w:r>
          </w:p>
        </w:tc>
        <w:tc>
          <w:tcPr>
            <w:tcW w:type="dxa" w:w="255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CnRebatePage / WF Rebate Trail (อ่านตรง)</w:t>
            </w:r>
          </w:p>
        </w:tc>
        <w:tc>
          <w:tcPr>
            <w:tcW w:type="dxa" w:w="330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SOHD 103/104 → WFCoupon → WFRedemtionHD/DT → SOInvHD/DT 107/202</w:t>
            </w:r>
          </w:p>
        </w:tc>
        <w:tc>
          <w:tcPr>
            <w:tcW w:type="dxa" w:w="21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SOID/CouponID/RedemtionID/SOInvID</w:t>
            </w:r>
          </w:p>
        </w:tc>
      </w:tr>
      <w:tr>
        <w:trPr>
          <w:cantSplit/>
        </w:trPr>
        <w:tc>
          <w:tcPr>
            <w:tcW w:type="dxa" w:w="164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คูปอง (Voucher)</w:t>
            </w:r>
          </w:p>
        </w:tc>
        <w:tc>
          <w:tcPr>
            <w:tcW w:type="dxa" w:w="255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VoucherPage (อ่านตรง)</w:t>
            </w:r>
          </w:p>
        </w:tc>
        <w:tc>
          <w:tcPr>
            <w:tcW w:type="dxa" w:w="330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WFCoupon → SOHD.SOID → EMEmp</w:t>
            </w:r>
          </w:p>
        </w:tc>
        <w:tc>
          <w:tcPr>
            <w:tcW w:type="dxa" w:w="21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DocuID=SOID</w:t>
            </w:r>
          </w:p>
        </w:tc>
      </w:tr>
    </w:tbl>
    <w:p>
      <w:pPr>
        <w:pStyle w:val="Heading4"/>
        <w:keepNext/>
      </w:pPr>
      <w:r>
        <w:rPr>
          <w:rFonts w:ascii="Kanit" w:hAnsi="Kanit" w:eastAsia="Kanit" w:cs="Kanit"/>
          <w:b/>
          <w:color w:val="1C2730"/>
          <w:sz w:val="21"/>
        </w:rPr>
        <w:t>3.2 App ↔ TruckScale (MySQL)</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877"/>
        <w:gridCol w:w="2818"/>
        <w:gridCol w:w="2682"/>
        <w:gridCol w:w="2262"/>
      </w:tblGrid>
      <w:tr>
        <w:trPr>
          <w:tblHeader w:val="true"/>
          <w:cantSplit/>
        </w:trPr>
        <w:tc>
          <w:tcPr>
            <w:tcW w:type="dxa" w:w="187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ความสัมพันธ์</w:t>
            </w:r>
          </w:p>
        </w:tc>
        <w:tc>
          <w:tcPr>
            <w:tcW w:type="dxa" w:w="281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App (wf)</w:t>
            </w:r>
          </w:p>
        </w:tc>
        <w:tc>
          <w:tcPr>
            <w:tcW w:type="dxa" w:w="268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TruckScale</w:t>
            </w:r>
          </w:p>
        </w:tc>
        <w:tc>
          <w:tcPr>
            <w:tcW w:type="dxa" w:w="226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Key</w:t>
            </w:r>
          </w:p>
        </w:tc>
      </w:tr>
      <w:tr>
        <w:trPr>
          <w:cantSplit/>
        </w:trPr>
        <w:tc>
          <w:tcPr>
            <w:tcW w:type="dxa" w:w="187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ใบชั่ง ↔ SO</w:t>
            </w:r>
          </w:p>
        </w:tc>
        <w:tc>
          <w:tcPr>
            <w:tcW w:type="dxa" w:w="281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WeighTicket.Movebill</w:t>
            </w:r>
          </w:p>
        </w:tc>
        <w:tc>
          <w:tcPr>
            <w:tcW w:type="dxa" w:w="268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tblscale.movebill</w:t>
            </w:r>
          </w:p>
        </w:tc>
        <w:tc>
          <w:tcPr>
            <w:tcW w:type="dxa" w:w="226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Movebill</w:t>
            </w:r>
          </w:p>
        </w:tc>
      </w:tr>
      <w:tr>
        <w:trPr>
          <w:cantSplit/>
        </w:trPr>
        <w:tc>
          <w:tcPr>
            <w:tcW w:type="dxa" w:w="187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จับคู่หาน้ำหนัก</w:t>
            </w:r>
          </w:p>
        </w:tc>
        <w:tc>
          <w:tcPr>
            <w:tcW w:type="dxa" w:w="281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SalesOrder.TruckPlate</w:t>
            </w:r>
          </w:p>
        </w:tc>
        <w:tc>
          <w:tcPr>
            <w:tcW w:type="dxa" w:w="268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tblscale.one_car_regis</w:t>
            </w:r>
          </w:p>
        </w:tc>
        <w:tc>
          <w:tcPr>
            <w:tcW w:type="dxa" w:w="226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ทะเบียนรถ (key หลัก)</w:t>
            </w:r>
          </w:p>
        </w:tc>
      </w:tr>
      <w:tr>
        <w:trPr>
          <w:cantSplit/>
        </w:trPr>
        <w:tc>
          <w:tcPr>
            <w:tcW w:type="dxa" w:w="187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น้ำหนัก</w:t>
            </w:r>
          </w:p>
        </w:tc>
        <w:tc>
          <w:tcPr>
            <w:tcW w:type="dxa" w:w="281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WeighTicket.Gross/Tare/NetKg</w:t>
            </w:r>
          </w:p>
        </w:tc>
        <w:tc>
          <w:tcPr>
            <w:tcW w:type="dxa" w:w="268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tblscale.weight_out/in/net</w:t>
            </w:r>
          </w:p>
        </w:tc>
        <w:tc>
          <w:tcPr>
            <w:tcW w:type="dxa" w:w="226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t>
            </w:r>
          </w:p>
        </w:tc>
      </w:tr>
      <w:tr>
        <w:trPr>
          <w:cantSplit/>
        </w:trPr>
        <w:tc>
          <w:tcPr>
            <w:tcW w:type="dxa" w:w="1877"/>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เครื่องชั่ง</w:t>
            </w:r>
          </w:p>
        </w:tc>
        <w:tc>
          <w:tcPr>
            <w:tcW w:type="dxa" w:w="281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WeighTicket.ScaleNo</w:t>
            </w:r>
          </w:p>
        </w:tc>
        <w:tc>
          <w:tcPr>
            <w:tcW w:type="dxa" w:w="26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tblscale.Computer_w</w:t>
            </w:r>
          </w:p>
        </w:tc>
        <w:tc>
          <w:tcPr>
            <w:tcW w:type="dxa" w:w="226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t>
            </w:r>
          </w:p>
        </w:tc>
      </w:tr>
    </w:tbl>
    <w:p>
      <w:pPr>
        <w:pStyle w:val="Heading4"/>
        <w:keepNext/>
      </w:pPr>
      <w:r>
        <w:rPr>
          <w:rFonts w:ascii="Kanit" w:hAnsi="Kanit" w:eastAsia="Kanit" w:cs="Kanit"/>
          <w:b/>
          <w:color w:val="1C2730"/>
          <w:sz w:val="21"/>
        </w:rPr>
        <w:t>3.3 WINSpeed ↔ TruckScale (ตรง)</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336"/>
        <w:gridCol w:w="2920"/>
        <w:gridCol w:w="4383"/>
      </w:tblGrid>
      <w:tr>
        <w:trPr>
          <w:tblHeader w:val="true"/>
          <w:cantSplit/>
        </w:trPr>
        <w:tc>
          <w:tcPr>
            <w:tcW w:type="dxa" w:w="233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WINSpeed</w:t>
            </w:r>
          </w:p>
        </w:tc>
        <w:tc>
          <w:tcPr>
            <w:tcW w:type="dxa" w:w="292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TruckScale</w:t>
            </w:r>
          </w:p>
        </w:tc>
        <w:tc>
          <w:tcPr>
            <w:tcW w:type="dxa" w:w="438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สถานะ</w:t>
            </w:r>
          </w:p>
        </w:tc>
      </w:tr>
      <w:tr>
        <w:trPr>
          <w:cantSplit/>
        </w:trPr>
        <w:tc>
          <w:tcPr>
            <w:tcW w:type="dxa" w:w="23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SOHD.TransRegistration</w:t>
            </w:r>
          </w:p>
        </w:tc>
        <w:tc>
          <w:tcPr>
            <w:tcW w:type="dxa" w:w="29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tblscale.one_car_regis</w:t>
            </w:r>
          </w:p>
        </w:tc>
        <w:tc>
          <w:tcPr>
            <w:tcW w:type="dxa" w:w="438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 ใช้ได้ (ทะเบียนรถ — key หลัก)</w:t>
            </w:r>
          </w:p>
        </w:tc>
      </w:tr>
      <w:tr>
        <w:trPr>
          <w:cantSplit/>
        </w:trPr>
        <w:tc>
          <w:tcPr>
            <w:tcW w:type="dxa" w:w="233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SOHD.DocuNo</w:t>
            </w:r>
          </w:p>
        </w:tc>
        <w:tc>
          <w:tcPr>
            <w:tcW w:type="dxa" w:w="292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tblproduct_detail.pd_pro_invoid</w:t>
            </w:r>
          </w:p>
        </w:tc>
        <w:tc>
          <w:tcPr>
            <w:tcW w:type="dxa" w:w="438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 ไม่น่าเชื่อถือ (ข้อมูลสกปรก: "ขาย", "ไม่ระบุ") — ไม่ใช้</w:t>
            </w:r>
          </w:p>
        </w:tc>
      </w:tr>
    </w:tbl>
    <w:p>
      <w:pPr>
        <w:pStyle w:val="Heading3"/>
        <w:keepNext/>
      </w:pPr>
      <w:r>
        <w:rPr>
          <w:rFonts w:ascii="Kanit" w:hAnsi="Kanit" w:eastAsia="Kanit" w:cs="Kanit"/>
          <w:b/>
          <w:color w:val="2B8C82"/>
          <w:sz w:val="23"/>
        </w:rPr>
        <w:t>4. Data Dictionary — schema wf (READ-WRITE)</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1B6B88"/>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Source note  </w:t>
            </w:r>
            <w:r>
              <w:rPr>
                <w:rFonts w:ascii="Prompt" w:hAnsi="Prompt" w:eastAsia="Prompt" w:cs="Prompt"/>
                <w:b w:val="0"/>
                <w:color w:val="1C2730"/>
                <w:sz w:val="18"/>
              </w:rPr>
              <w:t>18 ตาราง + 7 views · สร้าง/แก้ผ่าน migration (backend/migrations/) เท่านั้น</w:t>
            </w:r>
          </w:p>
        </w:tc>
      </w:tr>
    </w:tbl>
    <w:p>
      <w:pPr>
        <w:spacing w:after="0" w:line="96" w:lineRule="auto"/>
      </w:pPr>
    </w:p>
    <w:p>
      <w:pPr>
        <w:pStyle w:val="Heading4"/>
        <w:keepNext/>
      </w:pPr>
      <w:r>
        <w:rPr>
          <w:rFonts w:ascii="Kanit" w:hAnsi="Kanit" w:eastAsia="Kanit" w:cs="Kanit"/>
          <w:b/>
          <w:color w:val="1C2730"/>
          <w:sz w:val="21"/>
        </w:rPr>
        <w:t>4.1 กลุ่ม Sales Order</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036"/>
        <w:gridCol w:w="5568"/>
        <w:gridCol w:w="2036"/>
      </w:tblGrid>
      <w:tr>
        <w:trPr>
          <w:tblHeader w:val="true"/>
          <w:cantSplit/>
        </w:trPr>
        <w:tc>
          <w:tcPr>
            <w:tcW w:type="dxa" w:w="203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ตาราง</w:t>
            </w:r>
          </w:p>
        </w:tc>
        <w:tc>
          <w:tcPr>
            <w:tcW w:type="dxa" w:w="556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คอลัมน์หลัก</w:t>
            </w:r>
          </w:p>
        </w:tc>
        <w:tc>
          <w:tcPr>
            <w:tcW w:type="dxa" w:w="203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migration</w:t>
            </w:r>
          </w:p>
        </w:tc>
      </w:tr>
      <w:tr>
        <w:trPr>
          <w:cantSplit/>
        </w:trPr>
        <w:tc>
          <w:tcPr>
            <w:tcW w:type="dxa" w:w="20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SalesOrder</w:t>
            </w:r>
          </w:p>
        </w:tc>
        <w:tc>
          <w:tcPr>
            <w:tcW w:type="dxa" w:w="55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Id(PK), WfRef, SoPrefix, CustId, CustName, TruckPlate, ControlTicketNo, DeliveryDate, Status, SalesUserId, RebateDiscountAmt, VerifiedBy, VerifiedAt, CreatedAt</w:t>
            </w:r>
          </w:p>
        </w:tc>
        <w:tc>
          <w:tcPr>
            <w:tcW w:type="dxa" w:w="20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 (+018 verify)</w:t>
            </w:r>
          </w:p>
        </w:tc>
      </w:tr>
      <w:tr>
        <w:trPr>
          <w:cantSplit/>
        </w:trPr>
        <w:tc>
          <w:tcPr>
            <w:tcW w:type="dxa" w:w="203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SalesOrderLine</w:t>
            </w:r>
          </w:p>
        </w:tc>
        <w:tc>
          <w:tcPr>
            <w:tcW w:type="dxa" w:w="55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SoId, LineNum, GoodId, GoodCode, GoodName, QtyTon, QtyBag, PricePerTon, NetPricePerTon, IsGiveaway, RebateBooked, RefControlTicketNo, IsControlTicketDrawn</w:t>
            </w:r>
          </w:p>
        </w:tc>
        <w:tc>
          <w:tcPr>
            <w:tcW w:type="dxa" w:w="203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 (+008)</w:t>
            </w:r>
          </w:p>
        </w:tc>
      </w:tr>
      <w:tr>
        <w:trPr>
          <w:cantSplit/>
        </w:trPr>
        <w:tc>
          <w:tcPr>
            <w:tcW w:type="dxa" w:w="20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SalesOrderExt</w:t>
            </w:r>
          </w:p>
        </w:tc>
        <w:tc>
          <w:tcPr>
            <w:tcW w:type="dxa" w:w="55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SOID(PK=dbo.SOHD.SOID), WfRef, SoPrefix, SalesUserId, ControlTicketNo, ImportedDocuNo, IsLoaded, WeighOutWeight</w:t>
            </w:r>
          </w:p>
        </w:tc>
        <w:tc>
          <w:tcPr>
            <w:tcW w:type="dxa" w:w="20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003 (+007)</w:t>
            </w:r>
          </w:p>
        </w:tc>
      </w:tr>
      <w:tr>
        <w:trPr>
          <w:cantSplit/>
        </w:trPr>
        <w:tc>
          <w:tcPr>
            <w:tcW w:type="dxa" w:w="203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SalesOrderLineExt</w:t>
            </w:r>
          </w:p>
        </w:tc>
        <w:tc>
          <w:tcPr>
            <w:tcW w:type="dxa" w:w="55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SOID, ListNo, NetPricePerTon, IsGiveaway, RebateBooked, LoadSequence, RefControlTicketNo, IsControlTicketDrawn</w:t>
            </w:r>
          </w:p>
        </w:tc>
        <w:tc>
          <w:tcPr>
            <w:tcW w:type="dxa" w:w="203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003 (+007,009)</w:t>
            </w:r>
          </w:p>
        </w:tc>
      </w:tr>
      <w:tr>
        <w:trPr>
          <w:cantSplit/>
        </w:trPr>
        <w:tc>
          <w:tcPr>
            <w:tcW w:type="dxa" w:w="20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SalesOrderAudit</w:t>
            </w:r>
          </w:p>
        </w:tc>
        <w:tc>
          <w:tcPr>
            <w:tcW w:type="dxa" w:w="55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SoId, UserId, Action, FromStatus, ToStatus, Note, IpAddress, CreatedAt</w:t>
            </w:r>
          </w:p>
        </w:tc>
        <w:tc>
          <w:tcPr>
            <w:tcW w:type="dxa" w:w="203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w:t>
            </w:r>
          </w:p>
        </w:tc>
      </w:tr>
      <w:tr>
        <w:trPr>
          <w:cantSplit/>
        </w:trPr>
        <w:tc>
          <w:tcPr>
            <w:tcW w:type="dxa" w:w="203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AccessAsAudit</w:t>
            </w:r>
          </w:p>
        </w:tc>
        <w:tc>
          <w:tcPr>
            <w:tcW w:type="dxa" w:w="55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ActorUserId, EffectiveUserId, Action, IpAddress, UserAgent, CreatedAt; records Access As START/STOP</w:t>
            </w:r>
          </w:p>
        </w:tc>
        <w:tc>
          <w:tcPr>
            <w:tcW w:type="dxa" w:w="203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045</w:t>
            </w:r>
          </w:p>
        </w:tc>
      </w:tr>
      <w:tr>
        <w:trPr>
          <w:cantSplit/>
        </w:trPr>
        <w:tc>
          <w:tcPr>
            <w:tcW w:type="dxa" w:w="203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ApiAuditLog</w:t>
            </w:r>
          </w:p>
        </w:tc>
        <w:tc>
          <w:tcPr>
            <w:tcW w:type="dxa" w:w="556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ActorUserId, EffectiveUserId, Method, Path, StatusCode, DurationMs, IpAddress, UserAgent, CreatedAt; records mutating/error API calls</w:t>
            </w:r>
          </w:p>
        </w:tc>
        <w:tc>
          <w:tcPr>
            <w:tcW w:type="dxa" w:w="203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045</w:t>
            </w:r>
          </w:p>
        </w:tc>
      </w:tr>
    </w:tbl>
    <w:p>
      <w:pPr>
        <w:pStyle w:val="Heading4"/>
        <w:keepNext/>
      </w:pPr>
      <w:r>
        <w:rPr>
          <w:rFonts w:ascii="Kanit" w:hAnsi="Kanit" w:eastAsia="Kanit" w:cs="Kanit"/>
          <w:b/>
          <w:color w:val="1C2730"/>
          <w:sz w:val="21"/>
        </w:rPr>
        <w:t>4.2 กลุ่ม Rebate (฿)</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308"/>
        <w:gridCol w:w="5681"/>
        <w:gridCol w:w="1644"/>
      </w:tblGrid>
      <w:tr>
        <w:trPr>
          <w:tblHeader w:val="true"/>
          <w:cantSplit/>
        </w:trPr>
        <w:tc>
          <w:tcPr>
            <w:tcW w:type="dxa" w:w="230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ตาราง</w:t>
            </w:r>
          </w:p>
        </w:tc>
        <w:tc>
          <w:tcPr>
            <w:tcW w:type="dxa" w:w="568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คอลัมน์หลัก</w:t>
            </w:r>
          </w:p>
        </w:tc>
        <w:tc>
          <w:tcPr>
            <w:tcW w:type="dxa" w:w="164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migration</w:t>
            </w:r>
          </w:p>
        </w:tc>
      </w:tr>
      <w:tr>
        <w:trPr>
          <w:cantSplit/>
        </w:trPr>
        <w:tc>
          <w:tcPr>
            <w:tcW w:type="dxa" w:w="230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RebatePool</w:t>
            </w:r>
          </w:p>
        </w:tc>
        <w:tc>
          <w:tcPr>
            <w:tcW w:type="dxa" w:w="568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SalesUserId, PeriodYear, PeriodMonth, AccruedAmt, ClaimedAmt, AllocatedAmt</w:t>
            </w:r>
          </w:p>
        </w:tc>
        <w:tc>
          <w:tcPr>
            <w:tcW w:type="dxa" w:w="16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w:t>
            </w:r>
          </w:p>
        </w:tc>
      </w:tr>
      <w:tr>
        <w:trPr>
          <w:cantSplit/>
        </w:trPr>
        <w:tc>
          <w:tcPr>
            <w:tcW w:type="dxa" w:w="230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RebateLedger</w:t>
            </w:r>
          </w:p>
        </w:tc>
        <w:tc>
          <w:tcPr>
            <w:tcW w:type="dxa" w:w="568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PoolId, SoId, SoLineId, CustId, GoodCode, QtyTon, PricePerTon, NetPricePerTon, RebatePerTon, RebateAmount, RemainingAmt, Status, ReversedFlag, PlanId, Region</w:t>
            </w:r>
          </w:p>
        </w:tc>
        <w:tc>
          <w:tcPr>
            <w:tcW w:type="dxa" w:w="164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 (+017)</w:t>
            </w:r>
          </w:p>
        </w:tc>
      </w:tr>
      <w:tr>
        <w:trPr>
          <w:cantSplit/>
        </w:trPr>
        <w:tc>
          <w:tcPr>
            <w:tcW w:type="dxa" w:w="230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RebateClaim</w:t>
            </w:r>
          </w:p>
        </w:tc>
        <w:tc>
          <w:tcPr>
            <w:tcW w:type="dxa" w:w="568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PoolId, SalesUserId, CustId, ClaimAmt, RemainingAmt, Status, CnDocuNo, ApprovedAt, ApprovedBy</w:t>
            </w:r>
          </w:p>
        </w:tc>
        <w:tc>
          <w:tcPr>
            <w:tcW w:type="dxa" w:w="16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w:t>
            </w:r>
          </w:p>
        </w:tc>
      </w:tr>
      <w:tr>
        <w:trPr>
          <w:cantSplit/>
        </w:trPr>
        <w:tc>
          <w:tcPr>
            <w:tcW w:type="dxa" w:w="230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RebateUsage</w:t>
            </w:r>
          </w:p>
        </w:tc>
        <w:tc>
          <w:tcPr>
            <w:tcW w:type="dxa" w:w="568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LedgerId, ... (รีเบทที่ถูกใช้เป็นส่วนลด FIFO)</w:t>
            </w:r>
          </w:p>
        </w:tc>
        <w:tc>
          <w:tcPr>
            <w:tcW w:type="dxa" w:w="164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010</w:t>
            </w:r>
          </w:p>
        </w:tc>
      </w:tr>
      <w:tr>
        <w:trPr>
          <w:cantSplit/>
        </w:trPr>
        <w:tc>
          <w:tcPr>
            <w:tcW w:type="dxa" w:w="230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RebatePlan</w:t>
            </w:r>
          </w:p>
        </w:tc>
        <w:tc>
          <w:tcPr>
            <w:tcW w:type="dxa" w:w="568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PlanId, PlanNo, Title, GoodCodePattern, Region, ReturnType, NetPrice, ValidFrom, ValidTo, AllocatedAmount, Priority, Status</w:t>
            </w:r>
          </w:p>
        </w:tc>
        <w:tc>
          <w:tcPr>
            <w:tcW w:type="dxa" w:w="164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017</w:t>
            </w:r>
          </w:p>
        </w:tc>
      </w:tr>
      <w:tr>
        <w:trPr>
          <w:cantSplit/>
        </w:trPr>
        <w:tc>
          <w:tcPr>
            <w:tcW w:type="dxa" w:w="230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RebatePlanAllocation</w:t>
            </w:r>
          </w:p>
        </w:tc>
        <w:tc>
          <w:tcPr>
            <w:tcW w:type="dxa" w:w="568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Id, PlanId, PoolId, SalesUserId, Amount, CreatedBy</w:t>
            </w:r>
          </w:p>
        </w:tc>
        <w:tc>
          <w:tcPr>
            <w:tcW w:type="dxa" w:w="164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017</w:t>
            </w:r>
          </w:p>
        </w:tc>
      </w:tr>
    </w:tbl>
    <w:p>
      <w:pPr>
        <w:pStyle w:val="Heading4"/>
        <w:keepNext/>
      </w:pPr>
      <w:r>
        <w:rPr>
          <w:rFonts w:ascii="Kanit" w:hAnsi="Kanit" w:eastAsia="Kanit" w:cs="Kanit"/>
          <w:b/>
          <w:color w:val="1C2730"/>
          <w:sz w:val="21"/>
        </w:rPr>
        <w:t>4.3 กลุ่ม Giveaway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189"/>
        <w:gridCol w:w="5778"/>
        <w:gridCol w:w="1673"/>
      </w:tblGrid>
      <w:tr>
        <w:trPr>
          <w:tblHeader w:val="true"/>
          <w:cantSplit/>
        </w:trPr>
        <w:tc>
          <w:tcPr>
            <w:tcW w:type="dxa" w:w="218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ตาราง</w:t>
            </w:r>
          </w:p>
        </w:tc>
        <w:tc>
          <w:tcPr>
            <w:tcW w:type="dxa" w:w="577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คอลัมน์หลัก</w:t>
            </w:r>
          </w:p>
        </w:tc>
        <w:tc>
          <w:tcPr>
            <w:tcW w:type="dxa" w:w="167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migration</w:t>
            </w:r>
          </w:p>
        </w:tc>
      </w:tr>
      <w:tr>
        <w:trPr>
          <w:cantSplit/>
        </w:trPr>
        <w:tc>
          <w:tcPr>
            <w:tcW w:type="dxa" w:w="218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GiveawayBudget</w:t>
            </w:r>
          </w:p>
        </w:tc>
        <w:tc>
          <w:tcPr>
            <w:tcW w:type="dxa" w:w="57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SalesUserId, EmpId, Region, PeriodYear, Brand, ItemName, BudgetQty</w:t>
            </w:r>
          </w:p>
        </w:tc>
        <w:tc>
          <w:tcPr>
            <w:tcW w:type="dxa" w:w="16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002</w:t>
            </w:r>
          </w:p>
        </w:tc>
      </w:tr>
      <w:tr>
        <w:trPr>
          <w:cantSplit/>
        </w:trPr>
        <w:tc>
          <w:tcPr>
            <w:tcW w:type="dxa" w:w="218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GiveawayItem</w:t>
            </w:r>
          </w:p>
        </w:tc>
        <w:tc>
          <w:tcPr>
            <w:tcW w:type="dxa" w:w="577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Brand, ItemName, ItemType</w:t>
            </w:r>
          </w:p>
        </w:tc>
        <w:tc>
          <w:tcPr>
            <w:tcW w:type="dxa" w:w="167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002</w:t>
            </w:r>
          </w:p>
        </w:tc>
      </w:tr>
      <w:tr>
        <w:trPr>
          <w:cantSplit/>
        </w:trPr>
        <w:tc>
          <w:tcPr>
            <w:tcW w:type="dxa" w:w="218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GiveawayWithdrawal</w:t>
            </w:r>
          </w:p>
        </w:tc>
        <w:tc>
          <w:tcPr>
            <w:tcW w:type="dxa" w:w="57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SalesUserId, Region, PeriodYear, IssueMonth, Brand, ItemName, Qty, CustId, SoId, Source</w:t>
            </w:r>
          </w:p>
        </w:tc>
        <w:tc>
          <w:tcPr>
            <w:tcW w:type="dxa" w:w="16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002</w:t>
            </w:r>
          </w:p>
        </w:tc>
      </w:tr>
      <w:tr>
        <w:trPr>
          <w:cantSplit/>
        </w:trPr>
        <w:tc>
          <w:tcPr>
            <w:tcW w:type="dxa" w:w="2189"/>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GiveawayIssue</w:t>
            </w:r>
          </w:p>
        </w:tc>
        <w:tc>
          <w:tcPr>
            <w:tcW w:type="dxa" w:w="57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(legacy — issue ผูก SO; ปัจจุบันใช้ Withdrawal)</w:t>
            </w:r>
          </w:p>
        </w:tc>
        <w:tc>
          <w:tcPr>
            <w:tcW w:type="dxa" w:w="167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001</w:t>
            </w:r>
          </w:p>
        </w:tc>
      </w:tr>
    </w:tbl>
    <w:p>
      <w:pPr>
        <w:pStyle w:val="Heading4"/>
        <w:keepNext/>
      </w:pPr>
      <w:r>
        <w:rPr>
          <w:rFonts w:ascii="Kanit" w:hAnsi="Kanit" w:eastAsia="Kanit" w:cs="Kanit"/>
          <w:b/>
          <w:color w:val="1C2730"/>
          <w:sz w:val="21"/>
        </w:rPr>
        <w:t>4.4 กลุ่ม Paper Trail</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769"/>
        <w:gridCol w:w="6101"/>
        <w:gridCol w:w="1769"/>
      </w:tblGrid>
      <w:tr>
        <w:trPr>
          <w:tblHeader w:val="true"/>
          <w:cantSplit/>
        </w:trPr>
        <w:tc>
          <w:tcPr>
            <w:tcW w:type="dxa" w:w="176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ตาราง</w:t>
            </w:r>
          </w:p>
        </w:tc>
        <w:tc>
          <w:tcPr>
            <w:tcW w:type="dxa" w:w="610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คอลัมน์หลัก</w:t>
            </w:r>
          </w:p>
        </w:tc>
        <w:tc>
          <w:tcPr>
            <w:tcW w:type="dxa" w:w="176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migration</w:t>
            </w:r>
          </w:p>
        </w:tc>
      </w:tr>
      <w:tr>
        <w:trPr>
          <w:cantSplit/>
        </w:trPr>
        <w:tc>
          <w:tcPr>
            <w:tcW w:type="dxa" w:w="17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PaperCopy</w:t>
            </w:r>
          </w:p>
        </w:tc>
        <w:tc>
          <w:tcPr>
            <w:tcW w:type="dxa" w:w="61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SoId, WfRef, DocType, CopyColor, CopyLabel, QrNonce(unique), Status(PRINTED→IN_TRANSIT→SIGNED→FILED→LOST), HolderUserId</w:t>
            </w:r>
          </w:p>
        </w:tc>
        <w:tc>
          <w:tcPr>
            <w:tcW w:type="dxa" w:w="17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016</w:t>
            </w:r>
          </w:p>
        </w:tc>
      </w:tr>
      <w:tr>
        <w:trPr>
          <w:cantSplit/>
        </w:trPr>
        <w:tc>
          <w:tcPr>
            <w:tcW w:type="dxa" w:w="17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PaperScan</w:t>
            </w:r>
          </w:p>
        </w:tc>
        <w:tc>
          <w:tcPr>
            <w:tcW w:type="dxa" w:w="61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PaperCopyId, Action, FromStatus, ToStatus, ScannerUserId, Location, ScannedAt</w:t>
            </w:r>
          </w:p>
        </w:tc>
        <w:tc>
          <w:tcPr>
            <w:tcW w:type="dxa" w:w="17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016</w:t>
            </w:r>
          </w:p>
        </w:tc>
      </w:tr>
      <w:tr>
        <w:trPr>
          <w:cantSplit/>
        </w:trPr>
        <w:tc>
          <w:tcPr>
            <w:tcW w:type="dxa" w:w="176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PaperTrail</w:t>
            </w:r>
          </w:p>
        </w:tc>
        <w:tc>
          <w:tcPr>
            <w:tcW w:type="dxa" w:w="610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(legacy v1 — board อ่าน v_AllSalesOrders แทน)</w:t>
            </w:r>
          </w:p>
        </w:tc>
        <w:tc>
          <w:tcPr>
            <w:tcW w:type="dxa" w:w="176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002</w:t>
            </w:r>
          </w:p>
        </w:tc>
      </w:tr>
    </w:tbl>
    <w:p>
      <w:pPr>
        <w:pStyle w:val="Heading4"/>
        <w:keepNext/>
      </w:pPr>
      <w:r>
        <w:rPr>
          <w:rFonts w:ascii="Kanit" w:hAnsi="Kanit" w:eastAsia="Kanit" w:cs="Kanit"/>
          <w:b/>
          <w:color w:val="1C2730"/>
          <w:sz w:val="21"/>
        </w:rPr>
        <w:t>4.5 กลุ่มอื่น</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756"/>
        <w:gridCol w:w="5211"/>
        <w:gridCol w:w="1678"/>
      </w:tblGrid>
      <w:tr>
        <w:trPr>
          <w:tblHeader w:val="true"/>
          <w:cantSplit/>
        </w:trPr>
        <w:tc>
          <w:tcPr>
            <w:tcW w:type="dxa" w:w="275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ตาราง</w:t>
            </w:r>
          </w:p>
        </w:tc>
        <w:tc>
          <w:tcPr>
            <w:tcW w:type="dxa" w:w="521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คอลัมน์หลัก</w:t>
            </w:r>
          </w:p>
        </w:tc>
        <w:tc>
          <w:tcPr>
            <w:tcW w:type="dxa" w:w="167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migration</w:t>
            </w:r>
          </w:p>
        </w:tc>
      </w:tr>
      <w:tr>
        <w:trPr>
          <w:cantSplit/>
        </w:trPr>
        <w:tc>
          <w:tcPr>
            <w:tcW w:type="dxa" w:w="27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WeighTicket</w:t>
            </w:r>
          </w:p>
        </w:tc>
        <w:tc>
          <w:tcPr>
            <w:tcW w:type="dxa" w:w="521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SoId, WfRef, TruckPlate, GrossKg, TareKg, NetKg, ScaleNo, WeighInAt, WeighOutAt, Status, Movebill</w:t>
            </w:r>
          </w:p>
        </w:tc>
        <w:tc>
          <w:tcPr>
            <w:tcW w:type="dxa" w:w="16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019</w:t>
            </w:r>
          </w:p>
        </w:tc>
      </w:tr>
      <w:tr>
        <w:trPr>
          <w:cantSplit/>
        </w:trPr>
        <w:tc>
          <w:tcPr>
            <w:tcW w:type="dxa" w:w="27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UnlockRequest</w:t>
            </w:r>
          </w:p>
        </w:tc>
        <w:tc>
          <w:tcPr>
            <w:tcW w:type="dxa" w:w="521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SoId, WfRef, Reason, Status(PENDING/APPROVED/REJECTED), RequesterId, ApproverId, RespondedAt</w:t>
            </w:r>
          </w:p>
        </w:tc>
        <w:tc>
          <w:tcPr>
            <w:tcW w:type="dxa" w:w="167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018</w:t>
            </w:r>
          </w:p>
        </w:tc>
      </w:tr>
      <w:tr>
        <w:trPr>
          <w:cantSplit/>
        </w:trPr>
        <w:tc>
          <w:tcPr>
            <w:tcW w:type="dxa" w:w="27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Quotation</w:t>
            </w:r>
          </w:p>
        </w:tc>
        <w:tc>
          <w:tcPr>
            <w:tcW w:type="dxa" w:w="521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QuoteNo, CustId, CustName, ValidUntil, Status, ConvertedSoId, WinspeedQuoteSOID, WinspeedQuoteNo, WinspeedConfirmSOID, WinspeedConfirmNo</w:t>
            </w:r>
          </w:p>
        </w:tc>
        <w:tc>
          <w:tcPr>
            <w:tcW w:type="dxa" w:w="16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002 + 044</w:t>
            </w:r>
          </w:p>
        </w:tc>
      </w:tr>
      <w:tr>
        <w:trPr>
          <w:cantSplit/>
        </w:trPr>
        <w:tc>
          <w:tcPr>
            <w:tcW w:type="dxa" w:w="27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QuotationLine</w:t>
            </w:r>
          </w:p>
        </w:tc>
        <w:tc>
          <w:tcPr>
            <w:tcW w:type="dxa" w:w="521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QuotationId, LineNum, GoodId, QtyTon, PricePerTon, NetPricePerTon</w:t>
            </w:r>
          </w:p>
        </w:tc>
        <w:tc>
          <w:tcPr>
            <w:tcW w:type="dxa" w:w="167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002</w:t>
            </w:r>
          </w:p>
        </w:tc>
      </w:tr>
      <w:tr>
        <w:trPr>
          <w:cantSplit/>
        </w:trPr>
        <w:tc>
          <w:tcPr>
            <w:tcW w:type="dxa" w:w="27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QuotationSourceSO</w:t>
            </w:r>
          </w:p>
        </w:tc>
        <w:tc>
          <w:tcPr>
            <w:tcW w:type="dxa" w:w="521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QuoteId, SoId, SourceWfRef; ผูก Quotation กลับไปยัง SO draft ใน Sale Trip</w:t>
            </w:r>
          </w:p>
        </w:tc>
        <w:tc>
          <w:tcPr>
            <w:tcW w:type="dxa" w:w="16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042</w:t>
            </w:r>
          </w:p>
        </w:tc>
      </w:tr>
      <w:tr>
        <w:trPr>
          <w:cantSplit/>
        </w:trPr>
        <w:tc>
          <w:tcPr>
            <w:tcW w:type="dxa" w:w="275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dbo.SOHD/SODT DocuType 102/113</w:t>
            </w:r>
          </w:p>
        </w:tc>
        <w:tc>
          <w:tcPr>
            <w:tcW w:type="dxa" w:w="521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Native WINSpeed Quotation (QU...) และ Confirm Quotation (QC...); written by /api/quotation after structure validation</w:t>
            </w:r>
          </w:p>
        </w:tc>
        <w:tc>
          <w:tcPr>
            <w:tcW w:type="dxa" w:w="167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dbo + 044 link</w:t>
            </w:r>
          </w:p>
        </w:tc>
      </w:tr>
      <w:tr>
        <w:trPr>
          <w:cantSplit/>
        </w:trPr>
        <w:tc>
          <w:tcPr>
            <w:tcW w:type="dxa" w:w="275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AppUser</w:t>
            </w:r>
          </w:p>
        </w:tc>
        <w:tc>
          <w:tcPr>
            <w:tcW w:type="dxa" w:w="521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Id, Username, PasswordHash, DisplayName, Role(7), EmpId, IsActive</w:t>
            </w:r>
          </w:p>
        </w:tc>
        <w:tc>
          <w:tcPr>
            <w:tcW w:type="dxa" w:w="16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001</w:t>
            </w:r>
          </w:p>
        </w:tc>
      </w:tr>
      <w:tr>
        <w:trPr>
          <w:cantSplit/>
        </w:trPr>
        <w:tc>
          <w:tcPr>
            <w:tcW w:type="dxa" w:w="275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GoodExtra</w:t>
            </w:r>
          </w:p>
        </w:tc>
        <w:tc>
          <w:tcPr>
            <w:tcW w:type="dxa" w:w="521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GoodId, BagPerTon(20), WeightKgPerBag(50)</w:t>
            </w:r>
          </w:p>
        </w:tc>
        <w:tc>
          <w:tcPr>
            <w:tcW w:type="dxa" w:w="16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001</w:t>
            </w:r>
          </w:p>
        </w:tc>
      </w:tr>
    </w:tbl>
    <w:p>
      <w:pPr>
        <w:pStyle w:val="Heading4"/>
        <w:keepNext/>
      </w:pPr>
      <w:r>
        <w:rPr>
          <w:rFonts w:ascii="Kanit" w:hAnsi="Kanit" w:eastAsia="Kanit" w:cs="Kanit"/>
          <w:b/>
          <w:color w:val="1C2730"/>
          <w:sz w:val="21"/>
        </w:rPr>
        <w:t>4.6 Views (READ บน dbo)</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240"/>
        <w:gridCol w:w="4207"/>
        <w:gridCol w:w="3192"/>
      </w:tblGrid>
      <w:tr>
        <w:trPr>
          <w:tblHeader w:val="true"/>
          <w:cantSplit/>
        </w:trPr>
        <w:tc>
          <w:tcPr>
            <w:tcW w:type="dxa" w:w="224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View</w:t>
            </w:r>
          </w:p>
        </w:tc>
        <w:tc>
          <w:tcPr>
            <w:tcW w:type="dxa" w:w="420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อ่านจาก</w:t>
            </w:r>
          </w:p>
        </w:tc>
        <w:tc>
          <w:tcPr>
            <w:tcW w:type="dxa" w:w="319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ใช้ที่</w:t>
            </w:r>
          </w:p>
        </w:tc>
      </w:tr>
      <w:tr>
        <w:trPr>
          <w:cantSplit/>
        </w:trPr>
        <w:tc>
          <w:tcPr>
            <w:tcW w:type="dxa" w:w="224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v_AllSalesOrders</w:t>
            </w:r>
          </w:p>
        </w:tc>
        <w:tc>
          <w:tcPr>
            <w:tcW w:type="dxa" w:w="420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UNION wf.SalesOrder (DRAFT) + dbo.SOHD (CONFIRMED→SHIPPED)</w:t>
            </w:r>
          </w:p>
        </w:tc>
        <w:tc>
          <w:tcPr>
            <w:tcW w:type="dxa" w:w="319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Dashboard, Paper Trail, SO list, Aging</w:t>
            </w:r>
          </w:p>
        </w:tc>
      </w:tr>
      <w:tr>
        <w:trPr>
          <w:cantSplit/>
        </w:trPr>
        <w:tc>
          <w:tcPr>
            <w:tcW w:type="dxa" w:w="224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v_AllSalesOrderLines</w:t>
            </w:r>
          </w:p>
        </w:tc>
        <w:tc>
          <w:tcPr>
            <w:tcW w:type="dxa" w:w="420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UNION wf.SalesOrderLine + dbo.SODT</w:t>
            </w:r>
          </w:p>
        </w:tc>
        <w:tc>
          <w:tcPr>
            <w:tcW w:type="dxa" w:w="319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 detail, document</w:t>
            </w:r>
          </w:p>
        </w:tc>
      </w:tr>
      <w:tr>
        <w:trPr>
          <w:cantSplit/>
        </w:trPr>
        <w:tc>
          <w:tcPr>
            <w:tcW w:type="dxa" w:w="224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v_Customer</w:t>
            </w:r>
          </w:p>
        </w:tc>
        <w:tc>
          <w:tcPr>
            <w:tcW w:type="dxa" w:w="420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dbo.EMCust</w:t>
            </w:r>
          </w:p>
        </w:tc>
        <w:tc>
          <w:tcPr>
            <w:tcW w:type="dxa" w:w="319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เลือกลูกค้า</w:t>
            </w:r>
          </w:p>
        </w:tc>
      </w:tr>
      <w:tr>
        <w:trPr>
          <w:cantSplit/>
        </w:trPr>
        <w:tc>
          <w:tcPr>
            <w:tcW w:type="dxa" w:w="224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v_FertGood</w:t>
            </w:r>
          </w:p>
        </w:tc>
        <w:tc>
          <w:tcPr>
            <w:tcW w:type="dxa" w:w="420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dbo.EMGood (FG StockFlag='Y')</w:t>
            </w:r>
          </w:p>
        </w:tc>
        <w:tc>
          <w:tcPr>
            <w:tcW w:type="dxa" w:w="319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เลือกสินค้า</w:t>
            </w:r>
          </w:p>
        </w:tc>
      </w:tr>
      <w:tr>
        <w:trPr>
          <w:cantSplit/>
        </w:trPr>
        <w:tc>
          <w:tcPr>
            <w:tcW w:type="dxa" w:w="224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v_CurrentPrice</w:t>
            </w:r>
          </w:p>
        </w:tc>
        <w:tc>
          <w:tcPr>
            <w:tcW w:type="dxa" w:w="420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dbo.EMSetPriceDT</w:t>
            </w:r>
          </w:p>
        </w:tc>
        <w:tc>
          <w:tcPr>
            <w:tcW w:type="dxa" w:w="319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ราคา NET (ฐานรีเบท)</w:t>
            </w:r>
          </w:p>
        </w:tc>
      </w:tr>
      <w:tr>
        <w:trPr>
          <w:cantSplit/>
        </w:trPr>
        <w:tc>
          <w:tcPr>
            <w:tcW w:type="dxa" w:w="224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v_ControlTicket</w:t>
            </w:r>
          </w:p>
        </w:tc>
        <w:tc>
          <w:tcPr>
            <w:tcW w:type="dxa" w:w="420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dbo.SOHD (DocuType=103, 'Y')</w:t>
            </w:r>
          </w:p>
        </w:tc>
        <w:tc>
          <w:tcPr>
            <w:tcW w:type="dxa" w:w="319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ตั๋วคุม</w:t>
            </w:r>
          </w:p>
        </w:tc>
      </w:tr>
      <w:tr>
        <w:trPr>
          <w:cantSplit/>
        </w:trPr>
        <w:tc>
          <w:tcPr>
            <w:tcW w:type="dxa" w:w="224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v_GiveawayBudgetStatus</w:t>
            </w:r>
          </w:p>
        </w:tc>
        <w:tc>
          <w:tcPr>
            <w:tcW w:type="dxa" w:w="4207"/>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wf.GiveawayBudget − Withdrawal</w:t>
            </w:r>
          </w:p>
        </w:tc>
        <w:tc>
          <w:tcPr>
            <w:tcW w:type="dxa" w:w="319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ของแถม</w:t>
            </w:r>
          </w:p>
        </w:tc>
      </w:tr>
    </w:tbl>
    <w:p>
      <w:pPr>
        <w:pStyle w:val="Heading3"/>
        <w:keepNext/>
      </w:pPr>
      <w:r>
        <w:rPr>
          <w:rFonts w:ascii="Kanit" w:hAnsi="Kanit" w:eastAsia="Kanit" w:cs="Kanit"/>
          <w:b/>
          <w:color w:val="2B8C82"/>
          <w:sz w:val="23"/>
        </w:rPr>
        <w:t>5. Data Dictionary — dbo (WINSpeed, READ-ONLY)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115"/>
        <w:gridCol w:w="2778"/>
        <w:gridCol w:w="4751"/>
      </w:tblGrid>
      <w:tr>
        <w:trPr>
          <w:tblHeader w:val="true"/>
          <w:cantSplit/>
        </w:trPr>
        <w:tc>
          <w:tcPr>
            <w:tcW w:type="dxa" w:w="2115"/>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ตาราง</w:t>
            </w:r>
          </w:p>
        </w:tc>
        <w:tc>
          <w:tcPr>
            <w:tcW w:type="dxa" w:w="2778"/>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สาระ</w:t>
            </w:r>
          </w:p>
        </w:tc>
        <w:tc>
          <w:tcPr>
            <w:tcW w:type="dxa" w:w="4751"/>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DocuType / หมายเหตุ</w:t>
            </w:r>
          </w:p>
        </w:tc>
      </w:tr>
      <w:tr>
        <w:trPr>
          <w:cantSplit/>
        </w:trPr>
        <w:tc>
          <w:tcPr>
            <w:tcW w:type="dxa" w:w="21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EMCust (790)</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ลูกค้า</w:t>
            </w:r>
          </w:p>
        </w:tc>
        <w:tc>
          <w:tcPr>
            <w:tcW w:type="dxa" w:w="475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CustID</w:t>
            </w:r>
          </w:p>
        </w:tc>
      </w:tr>
      <w:tr>
        <w:trPr>
          <w:cantSplit/>
        </w:trPr>
        <w:tc>
          <w:tcPr>
            <w:tcW w:type="dxa" w:w="211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EMCustMultiEmp</w:t>
            </w:r>
          </w:p>
        </w:tc>
        <w:tc>
          <w:tcPr>
            <w:tcW w:type="dxa" w:w="27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ตารางเชื่อมลูกค้า ↔ พนักงานขาย</w:t>
            </w:r>
          </w:p>
        </w:tc>
        <w:tc>
          <w:tcPr>
            <w:tcW w:type="dxa" w:w="475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CustID+EmpID; ใช้จำกัดสิทธิ์ SALES และ filter salesperson</w:t>
            </w:r>
          </w:p>
        </w:tc>
      </w:tr>
      <w:tr>
        <w:trPr>
          <w:cantSplit/>
        </w:trPr>
        <w:tc>
          <w:tcPr>
            <w:tcW w:type="dxa" w:w="21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EMGood (417)</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สินค้า</w:t>
            </w:r>
          </w:p>
        </w:tc>
        <w:tc>
          <w:tcPr>
            <w:tcW w:type="dxa" w:w="475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FG = StockFlag='Y' (193)</w:t>
            </w:r>
          </w:p>
        </w:tc>
      </w:tr>
      <w:tr>
        <w:trPr>
          <w:cantSplit/>
        </w:trPr>
        <w:tc>
          <w:tcPr>
            <w:tcW w:type="dxa" w:w="211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EMEmp</w:t>
            </w:r>
          </w:p>
        </w:tc>
        <w:tc>
          <w:tcPr>
            <w:tcW w:type="dxa" w:w="27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พนักงาน</w:t>
            </w:r>
          </w:p>
        </w:tc>
        <w:tc>
          <w:tcPr>
            <w:tcW w:type="dxa" w:w="475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EmpID ↔ AppUser.EmpId</w:t>
            </w:r>
          </w:p>
        </w:tc>
      </w:tr>
      <w:tr>
        <w:trPr>
          <w:cantSplit/>
        </w:trPr>
        <w:tc>
          <w:tcPr>
            <w:tcW w:type="dxa" w:w="21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EMSetPriceHD/DT (4,054)</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ราคา NET รายเดือน</w:t>
            </w:r>
          </w:p>
        </w:tc>
        <w:tc>
          <w:tcPr>
            <w:tcW w:type="dxa" w:w="475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GoodPriceNet</w:t>
            </w:r>
          </w:p>
        </w:tc>
      </w:tr>
      <w:tr>
        <w:trPr>
          <w:cantSplit/>
        </w:trPr>
        <w:tc>
          <w:tcPr>
            <w:tcW w:type="dxa" w:w="211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SOHD/SODT</w:t>
            </w:r>
          </w:p>
        </w:tc>
        <w:tc>
          <w:tcPr>
            <w:tcW w:type="dxa" w:w="27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ใบจอง/ใบสั่งขาย</w:t>
            </w:r>
          </w:p>
        </w:tc>
        <w:tc>
          <w:tcPr>
            <w:tcW w:type="dxa" w:w="475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103=SO Data Entry/booking ที่ WINSpeed WF เห็นได้ · 104=เอกสารจาก Confirm/Approve Order (WF)</w:t>
            </w:r>
          </w:p>
        </w:tc>
      </w:tr>
      <w:tr>
        <w:trPr>
          <w:cantSplit/>
        </w:trPr>
        <w:tc>
          <w:tcPr>
            <w:tcW w:type="dxa" w:w="21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SOInvHD/SOInvDT</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ใบกำกับ/CN/DN</w:t>
            </w:r>
          </w:p>
        </w:tc>
        <w:tc>
          <w:tcPr>
            <w:tcW w:type="dxa" w:w="475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107=ขายเชื่อ · 109=CN legacy · 110=DN · 202=flow ลัด</w:t>
            </w:r>
          </w:p>
        </w:tc>
      </w:tr>
      <w:tr>
        <w:trPr>
          <w:cantSplit/>
        </w:trPr>
        <w:tc>
          <w:tcPr>
            <w:tcW w:type="dxa" w:w="211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WFCoupon (94,540)</w:t>
            </w:r>
          </w:p>
        </w:tc>
        <w:tc>
          <w:tcPr>
            <w:tcW w:type="dxa" w:w="27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คูปอง/สิทธิ์ WF Rebate ที่ผูกกับ SO</w:t>
            </w:r>
          </w:p>
        </w:tc>
        <w:tc>
          <w:tcPr>
            <w:tcW w:type="dxa" w:w="475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DocuID=SOHD.SOID</w:t>
            </w:r>
          </w:p>
        </w:tc>
      </w:tr>
      <w:tr>
        <w:trPr>
          <w:cantSplit/>
        </w:trPr>
        <w:tc>
          <w:tcPr>
            <w:tcW w:type="dxa" w:w="21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WFRedemtionHD/DT</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การใช้สิทธิ์/ตัดคูปอง WF Rebate</w:t>
            </w:r>
          </w:p>
        </w:tc>
        <w:tc>
          <w:tcPr>
            <w:tcW w:type="dxa" w:w="475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RedemtionID/CouponID/SOInvID</w:t>
            </w:r>
          </w:p>
        </w:tc>
      </w:tr>
      <w:tr>
        <w:trPr>
          <w:cantSplit/>
        </w:trPr>
        <w:tc>
          <w:tcPr>
            <w:tcW w:type="dxa" w:w="211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EMcnremarkType</w:t>
            </w:r>
          </w:p>
        </w:tc>
        <w:tc>
          <w:tcPr>
            <w:tcW w:type="dxa" w:w="277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เหตุผล CN</w:t>
            </w:r>
          </w:p>
        </w:tc>
        <w:tc>
          <w:tcPr>
            <w:tcW w:type="dxa" w:w="475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6001=ลดหนี้/ส่วนลด · 1001=ส่วนลดพิเศษ (=รีเบท)</w:t>
            </w:r>
          </w:p>
        </w:tc>
      </w:tr>
      <w:tr>
        <w:trPr>
          <w:cantSplit/>
        </w:trPr>
        <w:tc>
          <w:tcPr>
            <w:tcW w:type="dxa" w:w="211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GLHD/GLDT</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บัญชีแยกประเภท</w:t>
            </w:r>
          </w:p>
        </w:tc>
        <w:tc>
          <w:tcPr>
            <w:tcW w:type="dxa" w:w="475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501 · FromFlag=107</w:t>
            </w:r>
          </w:p>
        </w:tc>
      </w:tr>
    </w:tbl>
    <w:p>
      <w:pPr>
        <w:pStyle w:val="Heading3"/>
        <w:keepNext/>
      </w:pPr>
      <w:r>
        <w:rPr>
          <w:rFonts w:ascii="Kanit" w:hAnsi="Kanit" w:eastAsia="Kanit" w:cs="Kanit"/>
          <w:b/>
          <w:color w:val="2B8C82"/>
          <w:sz w:val="23"/>
        </w:rPr>
        <w:t>6. Data Dictionary — TruckScale (MySQL, controlled boundary)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950"/>
        <w:gridCol w:w="3958"/>
        <w:gridCol w:w="3731"/>
      </w:tblGrid>
      <w:tr>
        <w:trPr>
          <w:tblHeader w:val="true"/>
          <w:cantSplit/>
        </w:trPr>
        <w:tc>
          <w:tcPr>
            <w:tcW w:type="dxa" w:w="195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ตาราง</w:t>
            </w:r>
          </w:p>
        </w:tc>
        <w:tc>
          <w:tcPr>
            <w:tcW w:type="dxa" w:w="395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คอลัมน์หลัก</w:t>
            </w:r>
          </w:p>
        </w:tc>
        <w:tc>
          <w:tcPr>
            <w:tcW w:type="dxa" w:w="373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สาระ</w:t>
            </w:r>
          </w:p>
        </w:tc>
      </w:tr>
      <w:tr>
        <w:trPr>
          <w:cantSplit/>
        </w:trPr>
        <w:tc>
          <w:tcPr>
            <w:tcW w:type="dxa" w:w="195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tblscale (403,908)</w:t>
            </w:r>
          </w:p>
        </w:tc>
        <w:tc>
          <w:tcPr>
            <w:tcW w:type="dxa" w:w="395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sequence, movebill, one_car_regis(ทะเบียน), one_cus_name, weight_in/out/net, Date_In/Out, one_w_type, Computer_w(เครื่องชั่ง), one_num</w:t>
            </w:r>
          </w:p>
        </w:tc>
        <w:tc>
          <w:tcPr>
            <w:tcW w:type="dxa" w:w="373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รายการชั่ง (หลัก)</w:t>
            </w:r>
          </w:p>
        </w:tc>
      </w:tr>
      <w:tr>
        <w:trPr>
          <w:cantSplit/>
        </w:trPr>
        <w:tc>
          <w:tcPr>
            <w:tcW w:type="dxa" w:w="195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tblproduct_detail (550,161)</w:t>
            </w:r>
          </w:p>
        </w:tc>
        <w:tc>
          <w:tcPr>
            <w:tcW w:type="dxa" w:w="395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pd_pro_name, pd_pro_wantWeight, pd_Destination, one_num, pd_pro_invoid⚠️</w:t>
            </w:r>
          </w:p>
        </w:tc>
        <w:tc>
          <w:tcPr>
            <w:tcW w:type="dxa" w:w="373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สินค้าต่อใบชั่ง (read-only)</w:t>
            </w:r>
          </w:p>
        </w:tc>
      </w:tr>
      <w:tr>
        <w:trPr>
          <w:cantSplit/>
        </w:trPr>
        <w:tc>
          <w:tcPr>
            <w:tcW w:type="dxa" w:w="195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tbl_keyone</w:t>
            </w:r>
          </w:p>
        </w:tc>
        <w:tc>
          <w:tcPr>
            <w:tcW w:type="dxa" w:w="395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one_cus_id/name, one_car_regis, one_datetime, one_App</w:t>
            </w:r>
          </w:p>
        </w:tc>
        <w:tc>
          <w:tcPr>
            <w:tcW w:type="dxa" w:w="373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pre-weigh queue; App ทำเฉพาะ parameterized INSERT/DELETE ตาม SO lifecycle</w:t>
            </w:r>
          </w:p>
        </w:tc>
      </w:tr>
    </w:tbl>
    <w:p>
      <w:pPr>
        <w:pStyle w:val="Heading3"/>
        <w:keepNext/>
      </w:pPr>
      <w:r>
        <w:rPr>
          <w:rFonts w:ascii="Kanit" w:hAnsi="Kanit" w:eastAsia="Kanit" w:cs="Kanit"/>
          <w:b/>
          <w:color w:val="2B8C82"/>
          <w:sz w:val="23"/>
        </w:rPr>
        <w:t>7. หลักการสำคัญ (Iron Rules)</w:t>
      </w:r>
    </w:p>
    <w:p>
      <w:pPr>
        <w:pStyle w:val="ListNumber"/>
        <w:numPr>
          <w:numId w:val="11"/>
        </w:numPr>
        <w:spacing w:after="40"/>
      </w:pPr>
      <w:r>
        <w:rPr>
          <w:rFonts w:ascii="Prompt" w:hAnsi="Prompt" w:eastAsia="Prompt" w:cs="Prompt"/>
          <w:color w:val="1C2730"/>
          <w:sz w:val="18"/>
        </w:rPr>
        <w:t>schema wf = แก้ผ่าน migration เท่านั้น (backend/migrations/0xx.sql) — รัน npm run migrate:local + migrate:remote</w:t>
      </w:r>
    </w:p>
    <w:p>
      <w:pPr>
        <w:pStyle w:val="ListNumber"/>
        <w:numPr>
          <w:numId w:val="11"/>
        </w:numPr>
        <w:spacing w:after="40"/>
      </w:pPr>
      <w:r>
        <w:rPr>
          <w:rFonts w:ascii="Prompt" w:hAnsi="Prompt" w:eastAsia="Prompt" w:cs="Prompt"/>
          <w:color w:val="1C2730"/>
          <w:sz w:val="18"/>
        </w:rPr>
        <w:t>TruckScale (MySQL) = controlled boundary — tblscale และ reference tables read-only; เขียนเฉพาะ parameterized INSERT/DELETE tbl_keyone สำหรับ pre-weigh queue</w:t>
      </w:r>
    </w:p>
    <w:p>
      <w:pPr>
        <w:pStyle w:val="ListNumber"/>
        <w:numPr>
          <w:numId w:val="11"/>
        </w:numPr>
        <w:spacing w:after="40"/>
      </w:pPr>
      <w:r>
        <w:rPr>
          <w:rFonts w:ascii="Prompt" w:hAnsi="Prompt" w:eastAsia="Prompt" w:cs="Prompt"/>
          <w:color w:val="1C2730"/>
          <w:sz w:val="18"/>
        </w:rPr>
        <w:t>dbo = อ่านผ่าน view เป็นหลัก · ข้อยกเว้นที่ตัดสินใจรับ (v6.1 §17.3): confirm/picking/ship/cancel เขียน dbo.SOHD/SODT ตรง (sp_ConfirmSalesOrder + UPDATE PkgStatus/clearflag/DocuStatus) — แต่ GL ยังให้ WINSpeed post เอง (WINSpeed = เจ้าของบัญชี)</w:t>
      </w:r>
    </w:p>
    <w:p>
      <w:pPr>
        <w:pStyle w:val="ListNumber"/>
        <w:numPr>
          <w:numId w:val="11"/>
        </w:numPr>
        <w:spacing w:after="40"/>
      </w:pPr>
      <w:r>
        <w:rPr>
          <w:rFonts w:ascii="Prompt" w:hAnsi="Prompt" w:eastAsia="Prompt" w:cs="Prompt"/>
          <w:color w:val="1C2730"/>
          <w:sz w:val="18"/>
        </w:rPr>
        <w:t>ระบบรีเบท/ส่วนลดแยกกันชัดเจน: App Rebate Plan/Pool (wf) · WF Rebate Trail ของ WINSpeed (WFCoupon/WFRedemtion/SOInv, dbo) · Voucher/WFCoupon (ตัน, dbo) · ตั๋วคุม (AI, dbo)</w:t>
      </w:r>
    </w:p>
    <w:p>
      <w:pPr>
        <w:pStyle w:val="ListNumber"/>
        <w:numPr>
          <w:numId w:val="11"/>
        </w:numPr>
        <w:spacing w:after="40"/>
      </w:pPr>
      <w:r>
        <w:rPr>
          <w:rFonts w:ascii="Prompt" w:hAnsi="Prompt" w:eastAsia="Prompt" w:cs="Prompt"/>
          <w:color w:val="1C2730"/>
          <w:sz w:val="18"/>
        </w:rPr>
        <w:t>Realtime: Socket.IO (event so_updated, paper_updated) + polling fallback</w:t>
      </w:r>
    </w:p>
    <w:p>
      <w:pPr>
        <w:spacing w:after="60"/>
      </w:pPr>
      <w:r>
        <w:rPr>
          <w:rFonts w:ascii="Prompt" w:hAnsi="Prompt" w:eastAsia="Prompt" w:cs="Prompt"/>
          <w:i w:val="0"/>
          <w:color w:val="1C2730"/>
          <w:sz w:val="18"/>
        </w:rPr>
        <w:t>เอกสารถัดไป: 01-PAGES-SQL-MAP.md · 02-TEST-CASES.md · 03-USER-GUIDE.md · 04-SOP.md</w:t>
      </w:r>
    </w:p>
    <w:p>
      <w:pPr>
        <w:pStyle w:val="Heading3"/>
        <w:keepNext/>
      </w:pPr>
      <w:r>
        <w:rPr>
          <w:rFonts w:ascii="Kanit" w:hAnsi="Kanit" w:eastAsia="Kanit" w:cs="Kanit"/>
          <w:b/>
          <w:color w:val="2B8C82"/>
          <w:sz w:val="23"/>
        </w:rPr>
        <w:t>Current Addendum - 2026-07-19</w:t>
      </w:r>
    </w:p>
    <w:p>
      <w:pPr>
        <w:spacing w:after="60"/>
      </w:pPr>
      <w:r>
        <w:rPr>
          <w:rFonts w:ascii="Prompt" w:hAnsi="Prompt" w:eastAsia="Prompt" w:cs="Prompt"/>
          <w:i w:val="0"/>
          <w:color w:val="1C2730"/>
          <w:sz w:val="18"/>
        </w:rPr>
        <w:t>Schema changes 046-050 have been fully applied and tested.</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965"/>
        <w:gridCol w:w="5171"/>
        <w:gridCol w:w="1497"/>
      </w:tblGrid>
      <w:tr>
        <w:trPr>
          <w:tblHeader w:val="true"/>
          <w:cantSplit/>
        </w:trPr>
        <w:tc>
          <w:tcPr>
            <w:tcW w:type="dxa" w:w="296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Object</w:t>
            </w:r>
          </w:p>
        </w:tc>
        <w:tc>
          <w:tcPr>
            <w:tcW w:type="dxa" w:w="517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Current columns / purpose</w:t>
            </w:r>
          </w:p>
        </w:tc>
        <w:tc>
          <w:tcPr>
            <w:tcW w:type="dxa" w:w="149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Migration</w:t>
            </w:r>
          </w:p>
        </w:tc>
      </w:tr>
      <w:tr>
        <w:trPr>
          <w:cantSplit/>
        </w:trPr>
        <w:tc>
          <w:tcPr>
            <w:tcW w:type="dxa" w:w="29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wf.TruckType</w:t>
            </w:r>
          </w:p>
        </w:tc>
        <w:tc>
          <w:tcPr>
            <w:tcW w:type="dxa" w:w="517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Nolock performance improvements for reference views</w:t>
            </w:r>
          </w:p>
        </w:tc>
        <w:tc>
          <w:tcPr>
            <w:tcW w:type="dxa" w:w="149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046</w:t>
            </w:r>
          </w:p>
        </w:tc>
      </w:tr>
      <w:tr>
        <w:trPr>
          <w:cantSplit/>
        </w:trPr>
        <w:tc>
          <w:tcPr>
            <w:tcW w:type="dxa" w:w="296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wf.GiveawayItem</w:t>
            </w:r>
          </w:p>
        </w:tc>
        <w:tc>
          <w:tcPr>
            <w:tcW w:type="dxa" w:w="517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Seeded master data for giveaway items (Shirts, Bags, etc.)</w:t>
            </w:r>
          </w:p>
        </w:tc>
        <w:tc>
          <w:tcPr>
            <w:tcW w:type="dxa" w:w="149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047</w:t>
            </w:r>
          </w:p>
        </w:tc>
      </w:tr>
      <w:tr>
        <w:trPr>
          <w:cantSplit/>
        </w:trPr>
        <w:tc>
          <w:tcPr>
            <w:tcW w:type="dxa" w:w="29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wf.GiveawayWithdrawal</w:t>
            </w:r>
          </w:p>
        </w:tc>
        <w:tc>
          <w:tcPr>
            <w:tcW w:type="dxa" w:w="517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Extracted and mapped historical Excel records into the structural withdrawal table</w:t>
            </w:r>
          </w:p>
        </w:tc>
        <w:tc>
          <w:tcPr>
            <w:tcW w:type="dxa" w:w="149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048</w:t>
            </w:r>
          </w:p>
        </w:tc>
      </w:tr>
      <w:tr>
        <w:trPr>
          <w:cantSplit/>
        </w:trPr>
        <w:tc>
          <w:tcPr>
            <w:tcW w:type="dxa" w:w="296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wf.GiveawayItemMapping, wf.AppUser</w:t>
            </w:r>
          </w:p>
        </w:tc>
        <w:tc>
          <w:tcPr>
            <w:tcW w:type="dxa" w:w="517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Seeded employee links and detailed item mappings</w:t>
            </w:r>
          </w:p>
        </w:tc>
        <w:tc>
          <w:tcPr>
            <w:tcW w:type="dxa" w:w="149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049</w:t>
            </w:r>
          </w:p>
        </w:tc>
      </w:tr>
      <w:tr>
        <w:trPr>
          <w:cantSplit/>
        </w:trPr>
        <w:tc>
          <w:tcPr>
            <w:tcW w:type="dxa" w:w="296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wf.AppUser</w:t>
            </w:r>
          </w:p>
        </w:tc>
        <w:tc>
          <w:tcPr>
            <w:tcW w:type="dxa" w:w="517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Cleanup of hardcoded users and roles alignment</w:t>
            </w:r>
          </w:p>
        </w:tc>
        <w:tc>
          <w:tcPr>
            <w:tcW w:type="dxa" w:w="149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050</w:t>
            </w:r>
          </w:p>
        </w:tc>
      </w:tr>
      <w:tr>
        <w:trPr>
          <w:cantSplit/>
        </w:trPr>
        <w:tc>
          <w:tcPr>
            <w:tcW w:type="dxa" w:w="2965"/>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sp_ConfirmSalesOrder</w:t>
            </w:r>
          </w:p>
        </w:tc>
        <w:tc>
          <w:tcPr>
            <w:tcW w:type="dxa" w:w="517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Bugfix to strictly read exact TruckPlate from wf.SalesOrder without overwriting based on legacy prefix rules</w:t>
            </w:r>
          </w:p>
        </w:tc>
        <w:tc>
          <w:tcPr>
            <w:tcW w:type="dxa" w:w="1497"/>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050</w:t>
            </w:r>
          </w:p>
        </w:tc>
      </w:tr>
    </w:tbl>
    <w:p>
      <w:r>
        <w:br w:type="page"/>
      </w:r>
    </w:p>
    <w:p>
      <w:pPr>
        <w:pStyle w:val="Heading1"/>
        <w:keepNext/>
      </w:pPr>
      <w:r>
        <w:rPr>
          <w:rFonts w:ascii="Kanit" w:hAnsi="Kanit" w:eastAsia="Kanit" w:cs="Kanit"/>
          <w:b/>
          <w:color w:val="15334A"/>
          <w:sz w:val="34"/>
        </w:rPr>
        <w:t>TruckScale Integration and Data Quality Contract</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docs/enterprise/04-DATA-INTEGRATION/TRUCKSCALE-INTEGRATION-CONTRACT.md · SHA-256 23457F3BE33F4B1E05E2ADCE2E376B3E8BB86D35F42A76DB252C583497CB3FC2 · merged as Review content</w:t>
            </w:r>
          </w:p>
        </w:tc>
      </w:tr>
    </w:tbl>
    <w:p>
      <w:pPr>
        <w:spacing w:after="0" w:line="96" w:lineRule="auto"/>
      </w:pPr>
    </w:p>
    <w:p>
      <w:pPr>
        <w:pStyle w:val="Heading3"/>
        <w:keepNext/>
      </w:pPr>
      <w:r>
        <w:rPr>
          <w:rFonts w:ascii="Kanit" w:hAnsi="Kanit" w:eastAsia="Kanit" w:cs="Kanit"/>
          <w:b/>
          <w:color w:val="2B8C82"/>
          <w:sz w:val="23"/>
        </w:rPr>
        <w:t>Source profile</w:t>
      </w:r>
    </w:p>
    <w:p>
      <w:pPr>
        <w:spacing w:after="60"/>
      </w:pPr>
      <w:r>
        <w:rPr>
          <w:rFonts w:ascii="Prompt" w:hAnsi="Prompt" w:eastAsia="Prompt" w:cs="Prompt"/>
          <w:i w:val="0"/>
          <w:color w:val="1C2730"/>
          <w:sz w:val="18"/>
        </w:rPr>
        <w:t>TruckScale is MySQL-based. Core evidence includes tblscale (completed weighing), tbl_keyone (pre-weigh), tblproduct_detail (product detail), and customer/product/driver/store/type reference tables.</w:t>
      </w:r>
    </w:p>
    <w:p>
      <w:pPr>
        <w:pStyle w:val="Heading3"/>
        <w:keepNext/>
      </w:pPr>
      <w:r>
        <w:rPr>
          <w:rFonts w:ascii="Kanit" w:hAnsi="Kanit" w:eastAsia="Kanit" w:cs="Kanit"/>
          <w:b/>
          <w:color w:val="2B8C82"/>
          <w:sz w:val="23"/>
        </w:rPr>
        <w:t>Write boundary</w:t>
      </w:r>
    </w:p>
    <w:p>
      <w:pPr>
        <w:pStyle w:val="ListBullet"/>
        <w:spacing w:after="40"/>
      </w:pPr>
      <w:r>
        <w:rPr>
          <w:rFonts w:ascii="Prompt" w:hAnsi="Prompt" w:eastAsia="Prompt" w:cs="Prompt"/>
          <w:color w:val="1C2730"/>
          <w:sz w:val="18"/>
        </w:rPr>
        <w:t>Allowed target: tbl_keyone only.</w:t>
      </w:r>
    </w:p>
    <w:p>
      <w:pPr>
        <w:pStyle w:val="ListBullet"/>
        <w:spacing w:after="40"/>
      </w:pPr>
      <w:r>
        <w:rPr>
          <w:rFonts w:ascii="Prompt" w:hAnsi="Prompt" w:eastAsia="Prompt" w:cs="Prompt"/>
          <w:color w:val="1C2730"/>
          <w:sz w:val="18"/>
        </w:rPr>
        <w:t>Allowed lifecycle: parameterized INSERT when confirming a pre-weigh ticket; parameterized DELETE by one_App when the queue ticket must be removed.</w:t>
      </w:r>
    </w:p>
    <w:p>
      <w:pPr>
        <w:pStyle w:val="ListBullet"/>
        <w:spacing w:after="40"/>
      </w:pPr>
      <w:r>
        <w:rPr>
          <w:rFonts w:ascii="Prompt" w:hAnsi="Prompt" w:eastAsia="Prompt" w:cs="Prompt"/>
          <w:color w:val="1C2730"/>
          <w:sz w:val="18"/>
        </w:rPr>
        <w:t>tblscale, tblproduct_detail and reference tables remain read-only.</w:t>
      </w:r>
    </w:p>
    <w:p>
      <w:pPr>
        <w:pStyle w:val="ListBullet"/>
        <w:spacing w:after="40"/>
      </w:pPr>
      <w:r>
        <w:rPr>
          <w:rFonts w:ascii="Prompt" w:hAnsi="Prompt" w:eastAsia="Prompt" w:cs="Prompt"/>
          <w:color w:val="1C2730"/>
          <w:sz w:val="18"/>
        </w:rPr>
        <w:t>Any additional table/operation requires an approved contract change and least-privilege credential update.</w:t>
      </w:r>
    </w:p>
    <w:p>
      <w:pPr>
        <w:pStyle w:val="Heading3"/>
        <w:keepNext/>
      </w:pPr>
      <w:r>
        <w:rPr>
          <w:rFonts w:ascii="Kanit" w:hAnsi="Kanit" w:eastAsia="Kanit" w:cs="Kanit"/>
          <w:b/>
          <w:color w:val="2B8C82"/>
          <w:sz w:val="23"/>
        </w:rPr>
        <w:t>Required read operations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427"/>
        <w:gridCol w:w="3118"/>
        <w:gridCol w:w="4094"/>
      </w:tblGrid>
      <w:tr>
        <w:trPr>
          <w:tblHeader w:val="true"/>
          <w:cantSplit/>
        </w:trPr>
        <w:tc>
          <w:tcPr>
            <w:tcW w:type="dxa" w:w="242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Operation</w:t>
            </w:r>
          </w:p>
        </w:tc>
        <w:tc>
          <w:tcPr>
            <w:tcW w:type="dxa" w:w="311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Input</w:t>
            </w:r>
          </w:p>
        </w:tc>
        <w:tc>
          <w:tcPr>
            <w:tcW w:type="dxa" w:w="4094"/>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Output</w:t>
            </w:r>
          </w:p>
        </w:tc>
      </w:tr>
      <w:tr>
        <w:trPr>
          <w:cantSplit/>
        </w:trPr>
        <w:tc>
          <w:tcPr>
            <w:tcW w:type="dxa" w:w="242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Health/Ping</w:t>
            </w:r>
          </w:p>
        </w:tc>
        <w:tc>
          <w:tcPr>
            <w:tcW w:type="dxa" w:w="311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none</w:t>
            </w:r>
          </w:p>
        </w:tc>
        <w:tc>
          <w:tcPr>
            <w:tcW w:type="dxa" w:w="409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state, latency, record/version summary</w:t>
            </w:r>
          </w:p>
        </w:tc>
      </w:tr>
      <w:tr>
        <w:trPr>
          <w:cantSplit/>
        </w:trPr>
        <w:tc>
          <w:tcPr>
            <w:tcW w:type="dxa" w:w="242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Search plate</w:t>
            </w:r>
          </w:p>
        </w:tc>
        <w:tc>
          <w:tcPr>
            <w:tcW w:type="dxa" w:w="311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normalized plate + window</w:t>
            </w:r>
          </w:p>
        </w:tc>
        <w:tc>
          <w:tcPr>
            <w:tcW w:type="dxa" w:w="409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candidates with in/out/net/movebill</w:t>
            </w:r>
          </w:p>
        </w:tc>
      </w:tr>
      <w:tr>
        <w:trPr>
          <w:cantSplit/>
        </w:trPr>
        <w:tc>
          <w:tcPr>
            <w:tcW w:type="dxa" w:w="242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Search movebill</w:t>
            </w:r>
          </w:p>
        </w:tc>
        <w:tc>
          <w:tcPr>
            <w:tcW w:type="dxa" w:w="311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movebill</w:t>
            </w:r>
          </w:p>
        </w:tc>
        <w:tc>
          <w:tcPr>
            <w:tcW w:type="dxa" w:w="4094"/>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exact/near record and detail</w:t>
            </w:r>
          </w:p>
        </w:tc>
      </w:tr>
      <w:tr>
        <w:trPr>
          <w:cantSplit/>
        </w:trPr>
        <w:tc>
          <w:tcPr>
            <w:tcW w:type="dxa" w:w="242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Get source record</w:t>
            </w:r>
          </w:p>
        </w:tc>
        <w:tc>
          <w:tcPr>
            <w:tcW w:type="dxa" w:w="311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source s_id</w:t>
            </w:r>
          </w:p>
        </w:tc>
        <w:tc>
          <w:tcPr>
            <w:tcW w:type="dxa" w:w="4094"/>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header + item detail</w:t>
            </w:r>
          </w:p>
        </w:tc>
      </w:tr>
      <w:tr>
        <w:trPr>
          <w:cantSplit/>
        </w:trPr>
        <w:tc>
          <w:tcPr>
            <w:tcW w:type="dxa" w:w="2427"/>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Find for SO</w:t>
            </w:r>
          </w:p>
        </w:tc>
        <w:tc>
          <w:tcPr>
            <w:tcW w:type="dxa" w:w="311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 plate, ship date</w:t>
            </w:r>
          </w:p>
        </w:tc>
        <w:tc>
          <w:tcPr>
            <w:tcW w:type="dxa" w:w="409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ranked candidates + match reason</w:t>
            </w:r>
          </w:p>
        </w:tc>
      </w:tr>
    </w:tbl>
    <w:p>
      <w:pPr>
        <w:pStyle w:val="Heading3"/>
        <w:keepNext/>
      </w:pPr>
      <w:r>
        <w:rPr>
          <w:rFonts w:ascii="Kanit" w:hAnsi="Kanit" w:eastAsia="Kanit" w:cs="Kanit"/>
          <w:b/>
          <w:color w:val="2B8C82"/>
          <w:sz w:val="23"/>
        </w:rPr>
        <w:t>Canonical mapping</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710"/>
        <w:gridCol w:w="2886"/>
        <w:gridCol w:w="4043"/>
      </w:tblGrid>
      <w:tr>
        <w:trPr>
          <w:tblHeader w:val="true"/>
          <w:cantSplit/>
        </w:trPr>
        <w:tc>
          <w:tcPr>
            <w:tcW w:type="dxa" w:w="2710"/>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App field</w:t>
            </w:r>
          </w:p>
        </w:tc>
        <w:tc>
          <w:tcPr>
            <w:tcW w:type="dxa" w:w="2886"/>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TruckScale source</w:t>
            </w:r>
          </w:p>
        </w:tc>
        <w:tc>
          <w:tcPr>
            <w:tcW w:type="dxa" w:w="4043"/>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Rule</w:t>
            </w:r>
          </w:p>
        </w:tc>
      </w:tr>
      <w:tr>
        <w:trPr>
          <w:cantSplit/>
        </w:trPr>
        <w:tc>
          <w:tcPr>
            <w:tcW w:type="dxa" w:w="271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TruckPlateRaw</w:t>
            </w:r>
          </w:p>
        </w:tc>
        <w:tc>
          <w:tcPr>
            <w:tcW w:type="dxa" w:w="288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tblscale.one_car_regis</w:t>
            </w:r>
          </w:p>
        </w:tc>
        <w:tc>
          <w:tcPr>
            <w:tcW w:type="dxa" w:w="40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retain raw</w:t>
            </w:r>
          </w:p>
        </w:tc>
      </w:tr>
      <w:tr>
        <w:trPr>
          <w:cantSplit/>
        </w:trPr>
        <w:tc>
          <w:tcPr>
            <w:tcW w:type="dxa" w:w="271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TruckPlateNormalized</w:t>
            </w:r>
          </w:p>
        </w:tc>
        <w:tc>
          <w:tcPr>
            <w:tcW w:type="dxa" w:w="288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derived</w:t>
            </w:r>
          </w:p>
        </w:tc>
        <w:tc>
          <w:tcPr>
            <w:tcW w:type="dxa" w:w="40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normalize punctuation/space</w:t>
            </w:r>
          </w:p>
        </w:tc>
      </w:tr>
      <w:tr>
        <w:trPr>
          <w:cantSplit/>
        </w:trPr>
        <w:tc>
          <w:tcPr>
            <w:tcW w:type="dxa" w:w="271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Movebill</w:t>
            </w:r>
          </w:p>
        </w:tc>
        <w:tc>
          <w:tcPr>
            <w:tcW w:type="dxa" w:w="288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tblscale.movebill</w:t>
            </w:r>
          </w:p>
        </w:tc>
        <w:tc>
          <w:tcPr>
            <w:tcW w:type="dxa" w:w="40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retain exact</w:t>
            </w:r>
          </w:p>
        </w:tc>
      </w:tr>
      <w:tr>
        <w:trPr>
          <w:cantSplit/>
        </w:trPr>
        <w:tc>
          <w:tcPr>
            <w:tcW w:type="dxa" w:w="271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TareKg</w:t>
            </w:r>
          </w:p>
        </w:tc>
        <w:tc>
          <w:tcPr>
            <w:tcW w:type="dxa" w:w="288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weight_in</w:t>
            </w:r>
          </w:p>
        </w:tc>
        <w:tc>
          <w:tcPr>
            <w:tcW w:type="dxa" w:w="40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validate &gt;=0</w:t>
            </w:r>
          </w:p>
        </w:tc>
      </w:tr>
      <w:tr>
        <w:trPr>
          <w:cantSplit/>
        </w:trPr>
        <w:tc>
          <w:tcPr>
            <w:tcW w:type="dxa" w:w="271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GrossKg</w:t>
            </w:r>
          </w:p>
        </w:tc>
        <w:tc>
          <w:tcPr>
            <w:tcW w:type="dxa" w:w="288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weight_out</w:t>
            </w:r>
          </w:p>
        </w:tc>
        <w:tc>
          <w:tcPr>
            <w:tcW w:type="dxa" w:w="40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gross&gt;=tare</w:t>
            </w:r>
          </w:p>
        </w:tc>
      </w:tr>
      <w:tr>
        <w:trPr>
          <w:cantSplit/>
        </w:trPr>
        <w:tc>
          <w:tcPr>
            <w:tcW w:type="dxa" w:w="271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NetKg</w:t>
            </w:r>
          </w:p>
        </w:tc>
        <w:tc>
          <w:tcPr>
            <w:tcW w:type="dxa" w:w="288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weight_net</w:t>
            </w:r>
          </w:p>
        </w:tc>
        <w:tc>
          <w:tcPr>
            <w:tcW w:type="dxa" w:w="40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calculate/check</w:t>
            </w:r>
          </w:p>
        </w:tc>
      </w:tr>
      <w:tr>
        <w:trPr>
          <w:cantSplit/>
        </w:trPr>
        <w:tc>
          <w:tcPr>
            <w:tcW w:type="dxa" w:w="271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WeighInAt</w:t>
            </w:r>
          </w:p>
        </w:tc>
        <w:tc>
          <w:tcPr>
            <w:tcW w:type="dxa" w:w="288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Date_In2 + Time_In</w:t>
            </w:r>
          </w:p>
        </w:tc>
        <w:tc>
          <w:tcPr>
            <w:tcW w:type="dxa" w:w="40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serial conversion; preserve raw</w:t>
            </w:r>
          </w:p>
        </w:tc>
      </w:tr>
      <w:tr>
        <w:trPr>
          <w:cantSplit/>
        </w:trPr>
        <w:tc>
          <w:tcPr>
            <w:tcW w:type="dxa" w:w="271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WeighOutAt</w:t>
            </w:r>
          </w:p>
        </w:tc>
        <w:tc>
          <w:tcPr>
            <w:tcW w:type="dxa" w:w="288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Date_Out2 + Time_Out</w:t>
            </w:r>
          </w:p>
        </w:tc>
        <w:tc>
          <w:tcPr>
            <w:tcW w:type="dxa" w:w="40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serial conversion; preserve raw</w:t>
            </w:r>
          </w:p>
        </w:tc>
      </w:tr>
      <w:tr>
        <w:trPr>
          <w:cantSplit/>
        </w:trPr>
        <w:tc>
          <w:tcPr>
            <w:tcW w:type="dxa" w:w="271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ScaleNo</w:t>
            </w:r>
          </w:p>
        </w:tc>
        <w:tc>
          <w:tcPr>
            <w:tcW w:type="dxa" w:w="288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Computer_w</w:t>
            </w:r>
          </w:p>
        </w:tc>
        <w:tc>
          <w:tcPr>
            <w:tcW w:type="dxa" w:w="40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map physical scale</w:t>
            </w:r>
          </w:p>
        </w:tc>
      </w:tr>
      <w:tr>
        <w:trPr>
          <w:cantSplit/>
        </w:trPr>
        <w:tc>
          <w:tcPr>
            <w:tcW w:type="dxa" w:w="271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Product evidence</w:t>
            </w:r>
          </w:p>
        </w:tc>
        <w:tc>
          <w:tcPr>
            <w:tcW w:type="dxa" w:w="288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tblproduct_detail</w:t>
            </w:r>
          </w:p>
        </w:tc>
        <w:tc>
          <w:tcPr>
            <w:tcW w:type="dxa" w:w="404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support/reconcile, not blind SO match</w:t>
            </w:r>
          </w:p>
        </w:tc>
      </w:tr>
      <w:tr>
        <w:trPr>
          <w:cantSplit/>
        </w:trPr>
        <w:tc>
          <w:tcPr>
            <w:tcW w:type="dxa" w:w="271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Source key</w:t>
            </w:r>
          </w:p>
        </w:tc>
        <w:tc>
          <w:tcPr>
            <w:tcW w:type="dxa" w:w="288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s_id</w:t>
            </w:r>
          </w:p>
        </w:tc>
        <w:tc>
          <w:tcPr>
            <w:tcW w:type="dxa" w:w="404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immutable external reference</w:t>
            </w:r>
          </w:p>
        </w:tc>
      </w:tr>
    </w:tbl>
    <w:p>
      <w:pPr>
        <w:pStyle w:val="Heading3"/>
        <w:keepNext/>
      </w:pPr>
      <w:r>
        <w:rPr>
          <w:rFonts w:ascii="Kanit" w:hAnsi="Kanit" w:eastAsia="Kanit" w:cs="Kanit"/>
          <w:b/>
          <w:color w:val="2B8C82"/>
          <w:sz w:val="23"/>
        </w:rPr>
        <w:t>Data quality controls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3992"/>
        <w:gridCol w:w="5647"/>
      </w:tblGrid>
      <w:tr>
        <w:trPr>
          <w:tblHeader w:val="true"/>
          <w:cantSplit/>
        </w:trPr>
        <w:tc>
          <w:tcPr>
            <w:tcW w:type="dxa" w:w="399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Risk</w:t>
            </w:r>
          </w:p>
        </w:tc>
        <w:tc>
          <w:tcPr>
            <w:tcW w:type="dxa" w:w="564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Control</w:t>
            </w:r>
          </w:p>
        </w:tc>
      </w:tr>
      <w:tr>
        <w:trPr>
          <w:cantSplit/>
        </w:trPr>
        <w:tc>
          <w:tcPr>
            <w:tcW w:type="dxa" w:w="399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Thai string vs serial dates</w:t>
            </w:r>
          </w:p>
        </w:tc>
        <w:tc>
          <w:tcPr>
            <w:tcW w:type="dxa" w:w="564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prefer serial, retain raw, flag mismatch</w:t>
            </w:r>
          </w:p>
        </w:tc>
      </w:tr>
      <w:tr>
        <w:trPr>
          <w:cantSplit/>
        </w:trPr>
        <w:tc>
          <w:tcPr>
            <w:tcW w:type="dxa" w:w="399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UTF-8/TIS620 mix</w:t>
            </w:r>
          </w:p>
        </w:tc>
        <w:tc>
          <w:tcPr>
            <w:tcW w:type="dxa" w:w="564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charset test and decode-error telemetry</w:t>
            </w:r>
          </w:p>
        </w:tc>
      </w:tr>
      <w:tr>
        <w:trPr>
          <w:cantSplit/>
        </w:trPr>
        <w:tc>
          <w:tcPr>
            <w:tcW w:type="dxa" w:w="399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 FKs</w:t>
            </w:r>
          </w:p>
        </w:tc>
        <w:tc>
          <w:tcPr>
            <w:tcW w:type="dxa" w:w="564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join documented keys; validate multiplicity</w:t>
            </w:r>
          </w:p>
        </w:tc>
      </w:tr>
      <w:tr>
        <w:trPr>
          <w:cantSplit/>
        </w:trPr>
        <w:tc>
          <w:tcPr>
            <w:tcW w:type="dxa" w:w="399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Inconsistent plates</w:t>
            </w:r>
          </w:p>
        </w:tc>
        <w:tc>
          <w:tcPr>
            <w:tcW w:type="dxa" w:w="564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normalize/rank/user confirm</w:t>
            </w:r>
          </w:p>
        </w:tc>
      </w:tr>
      <w:tr>
        <w:trPr>
          <w:cantSplit/>
        </w:trPr>
        <w:tc>
          <w:tcPr>
            <w:tcW w:type="dxa" w:w="399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Default/test weights</w:t>
            </w:r>
          </w:p>
        </w:tc>
        <w:tc>
          <w:tcPr>
            <w:tcW w:type="dxa" w:w="564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sanity rule/outlier alert</w:t>
            </w:r>
          </w:p>
        </w:tc>
      </w:tr>
      <w:tr>
        <w:trPr>
          <w:cantSplit/>
        </w:trPr>
        <w:tc>
          <w:tcPr>
            <w:tcW w:type="dxa" w:w="399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Customer inconsistency</w:t>
            </w:r>
          </w:p>
        </w:tc>
        <w:tc>
          <w:tcPr>
            <w:tcW w:type="dxa" w:w="564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customer code not sole final match</w:t>
            </w:r>
          </w:p>
        </w:tc>
      </w:tr>
      <w:tr>
        <w:trPr>
          <w:cantSplit/>
        </w:trPr>
        <w:tc>
          <w:tcPr>
            <w:tcW w:type="dxa" w:w="399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Multi-trip/duplicates</w:t>
            </w:r>
          </w:p>
        </w:tc>
        <w:tc>
          <w:tcPr>
            <w:tcW w:type="dxa" w:w="5647"/>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one source ref per ticket; duplicate detection</w:t>
            </w:r>
          </w:p>
        </w:tc>
      </w:tr>
    </w:tbl>
    <w:p>
      <w:pPr>
        <w:pStyle w:val="Heading3"/>
        <w:keepNext/>
      </w:pPr>
      <w:r>
        <w:rPr>
          <w:rFonts w:ascii="Kanit" w:hAnsi="Kanit" w:eastAsia="Kanit" w:cs="Kanit"/>
          <w:b/>
          <w:color w:val="2B8C82"/>
          <w:sz w:val="23"/>
        </w:rPr>
        <w:t>Manual fallback</w:t>
      </w:r>
    </w:p>
    <w:p>
      <w:pPr>
        <w:spacing w:after="60"/>
      </w:pPr>
      <w:r>
        <w:rPr>
          <w:rFonts w:ascii="Prompt" w:hAnsi="Prompt" w:eastAsia="Prompt" w:cs="Prompt"/>
          <w:i w:val="0"/>
          <w:color w:val="1C2730"/>
          <w:sz w:val="18"/>
        </w:rPr>
        <w:t>Allowed only when TruckScale is unavailable/ambiguous and user is authorized. Reason, supervisor policy, values and later reconciliation are mandatory.</w:t>
      </w:r>
    </w:p>
    <w:p>
      <w:pPr>
        <w:pStyle w:val="Heading3"/>
        <w:keepNext/>
      </w:pPr>
      <w:r>
        <w:rPr>
          <w:rFonts w:ascii="Kanit" w:hAnsi="Kanit" w:eastAsia="Kanit" w:cs="Kanit"/>
          <w:b/>
          <w:color w:val="2B8C82"/>
          <w:sz w:val="23"/>
        </w:rPr>
        <w:t>Security</w:t>
      </w:r>
    </w:p>
    <w:p>
      <w:pPr>
        <w:spacing w:after="60"/>
      </w:pPr>
      <w:r>
        <w:rPr>
          <w:rFonts w:ascii="Prompt" w:hAnsi="Prompt" w:eastAsia="Prompt" w:cs="Prompt"/>
          <w:i w:val="0"/>
          <w:color w:val="1C2730"/>
          <w:sz w:val="18"/>
        </w:rPr>
        <w:t>Read and Write privilege on tbl_keyone (Pre-weigh); Read-only for tblscale and others; private network/VPN/allowlist; secret-managed credentials.</w:t>
      </w:r>
    </w:p>
    <w:p>
      <w:pPr>
        <w:pStyle w:val="Heading3"/>
        <w:keepNext/>
      </w:pPr>
      <w:r>
        <w:rPr>
          <w:rFonts w:ascii="Kanit" w:hAnsi="Kanit" w:eastAsia="Kanit" w:cs="Kanit"/>
          <w:b/>
          <w:color w:val="2B8C82"/>
          <w:sz w:val="23"/>
        </w:rPr>
        <w:t>Operational Workflow (Physical vs Digital)</w:t>
      </w:r>
    </w:p>
    <w:p>
      <w:pPr>
        <w:pStyle w:val="Heading4"/>
        <w:keepNext/>
      </w:pPr>
      <w:r>
        <w:rPr>
          <w:rFonts w:ascii="Kanit" w:hAnsi="Kanit" w:eastAsia="Kanit" w:cs="Kanit"/>
          <w:b/>
          <w:color w:val="1C2730"/>
          <w:sz w:val="21"/>
        </w:rPr>
        <w:t>Sequence Loading &amp; Interim Weighing</w:t>
      </w:r>
    </w:p>
    <w:p>
      <w:pPr>
        <w:pStyle w:val="ListBullet"/>
        <w:spacing w:after="40"/>
      </w:pPr>
      <w:r>
        <w:rPr>
          <w:rFonts w:ascii="Prompt" w:hAnsi="Prompt" w:eastAsia="Prompt" w:cs="Prompt"/>
          <w:color w:val="1C2730"/>
          <w:sz w:val="18"/>
        </w:rPr>
        <w:t>App Capability: WS-Sale-App supports Sequence Loading via the LoadSequence field, directing the warehouse team on the exact order of goods to load.</w:t>
      </w:r>
    </w:p>
    <w:p>
      <w:pPr>
        <w:pStyle w:val="ListBullet"/>
        <w:spacing w:after="40"/>
      </w:pPr>
      <w:r>
        <w:rPr>
          <w:rFonts w:ascii="Prompt" w:hAnsi="Prompt" w:eastAsia="Prompt" w:cs="Prompt"/>
          <w:color w:val="1C2730"/>
          <w:sz w:val="18"/>
        </w:rPr>
        <w:t>TruckScale Capability: The integration only tracks the Tare Weight (weight_in) and the Final Gross Weight (weight_out).</w:t>
      </w:r>
    </w:p>
    <w:p>
      <w:pPr>
        <w:pStyle w:val="ListBullet"/>
        <w:spacing w:after="40"/>
      </w:pPr>
      <w:r>
        <w:rPr>
          <w:rFonts w:ascii="Prompt" w:hAnsi="Prompt" w:eastAsia="Prompt" w:cs="Prompt"/>
          <w:color w:val="1C2730"/>
          <w:sz w:val="18"/>
        </w:rPr>
        <w:t>Physical Workflow: For multi-step loading (วนชั่งทีละสูตร), the scale operator manually observes the interim weight delta on the live indicator to verify line-by-line correctness. The "Save (ชั่งออก)" action in TruckScale is executed only when the final product is loaded. The App captures this final result without needing interim data points.</w:t>
      </w:r>
    </w:p>
    <w:p>
      <w:pPr>
        <w:pStyle w:val="Heading4"/>
        <w:keepNext/>
      </w:pPr>
      <w:r>
        <w:rPr>
          <w:rFonts w:ascii="Kanit" w:hAnsi="Kanit" w:eastAsia="Kanit" w:cs="Kanit"/>
          <w:b/>
          <w:color w:val="1C2730"/>
          <w:sz w:val="21"/>
        </w:rPr>
        <w:t>In-Progress SO Editing</w:t>
      </w:r>
    </w:p>
    <w:p>
      <w:pPr>
        <w:pStyle w:val="ListBullet"/>
        <w:spacing w:after="40"/>
      </w:pPr>
      <w:r>
        <w:rPr>
          <w:rFonts w:ascii="Prompt" w:hAnsi="Prompt" w:eastAsia="Prompt" w:cs="Prompt"/>
          <w:color w:val="1C2730"/>
          <w:sz w:val="18"/>
        </w:rPr>
        <w:t>App Behavior: If a Sales Order requires modification after the truck has already weighed in (record moved to tblscale), the user can request an "Unlock" in the App to revert the SO to DRAFT status.</w:t>
      </w:r>
    </w:p>
    <w:p>
      <w:pPr>
        <w:pStyle w:val="ListBullet"/>
        <w:spacing w:after="40"/>
      </w:pPr>
      <w:r>
        <w:rPr>
          <w:rFonts w:ascii="Prompt" w:hAnsi="Prompt" w:eastAsia="Prompt" w:cs="Prompt"/>
          <w:color w:val="1C2730"/>
          <w:sz w:val="18"/>
        </w:rPr>
        <w:t>TruckScale Safety Check:</w:t>
      </w:r>
    </w:p>
    <w:p>
      <w:pPr>
        <w:pStyle w:val="ListBullet2"/>
        <w:spacing w:after="40"/>
      </w:pPr>
      <w:r>
        <w:rPr>
          <w:rFonts w:ascii="Prompt" w:hAnsi="Prompt" w:eastAsia="Prompt" w:cs="Prompt"/>
          <w:color w:val="1C2730"/>
          <w:sz w:val="18"/>
        </w:rPr>
        <w:t>Upon unlocking, the App issues a DELETE command to tbl_keyone (which safely affects 0 rows if the truck is already in tblscale).</w:t>
      </w:r>
    </w:p>
    <w:p>
      <w:pPr>
        <w:pStyle w:val="ListBullet2"/>
        <w:spacing w:after="40"/>
      </w:pPr>
      <w:r>
        <w:rPr>
          <w:rFonts w:ascii="Prompt" w:hAnsi="Prompt" w:eastAsia="Prompt" w:cs="Prompt"/>
          <w:color w:val="1C2730"/>
          <w:sz w:val="18"/>
        </w:rPr>
        <w:t>Upon re-confirming the modified SO, the App executes a safety check: SELECT s_id FROM tblscale WHERE weight_in &gt; 0 AND (weight_out = 0 OR weight_out IS NULL). If an active session exists for the truck plate, the App gracefully skips re-inserting into tbl_keyone to prevent duplicate queue tickets.</w:t>
      </w:r>
    </w:p>
    <w:p>
      <w:pPr>
        <w:pStyle w:val="ListBullet2"/>
        <w:spacing w:after="40"/>
      </w:pPr>
      <w:r>
        <w:rPr>
          <w:rFonts w:ascii="Prompt" w:hAnsi="Prompt" w:eastAsia="Prompt" w:cs="Prompt"/>
          <w:color w:val="1C2730"/>
          <w:sz w:val="18"/>
        </w:rPr>
        <w:t>The truck proceeds to weigh out using its existing tblscale session.</w:t>
      </w:r>
    </w:p>
    <w:p>
      <w:pPr>
        <w:pStyle w:val="ListBullet"/>
        <w:spacing w:after="40"/>
      </w:pPr>
      <w:r>
        <w:rPr>
          <w:rFonts w:ascii="Prompt" w:hAnsi="Prompt" w:eastAsia="Prompt" w:cs="Prompt"/>
          <w:color w:val="1C2730"/>
          <w:sz w:val="18"/>
        </w:rPr>
        <w:t>Data Integrity: The App's modified wf.SalesOrderLine acts as the definitive Source of Truth for invoicing and inventory deduction, regardless of the outdated product text residing on the physical TruckScale ticket.</w:t>
      </w:r>
    </w:p>
    <w:p>
      <w:r>
        <w:br w:type="page"/>
      </w:r>
    </w:p>
    <w:p>
      <w:pPr>
        <w:pStyle w:val="Heading1"/>
        <w:keepNext/>
      </w:pPr>
      <w:r>
        <w:rPr>
          <w:rFonts w:ascii="Kanit" w:hAnsi="Kanit" w:eastAsia="Kanit" w:cs="Kanit"/>
          <w:b/>
          <w:color w:val="15334A"/>
          <w:sz w:val="34"/>
        </w:rPr>
        <w:t>WINSpeed Integration Contract</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docs/enterprise/04-DATA-INTEGRATION/WINSPEED-INTEGRATION-CONTRACT.md · SHA-256 C4B9B5C6BF6D5E41AA7A0F47C9B55AABF80B38BD01E7C6BCC07912B7345FBF31 · merged as Review content</w:t>
            </w:r>
          </w:p>
        </w:tc>
      </w:tr>
    </w:tbl>
    <w:p>
      <w:pPr>
        <w:spacing w:after="0" w:line="96" w:lineRule="auto"/>
      </w:pPr>
    </w:p>
    <w:p>
      <w:pPr>
        <w:pStyle w:val="Heading3"/>
        <w:keepNext/>
      </w:pPr>
      <w:r>
        <w:rPr>
          <w:rFonts w:ascii="Kanit" w:hAnsi="Kanit" w:eastAsia="Kanit" w:cs="Kanit"/>
          <w:b/>
          <w:color w:val="2B8C82"/>
          <w:sz w:val="23"/>
        </w:rPr>
        <w:t>Purpose</w:t>
      </w:r>
    </w:p>
    <w:p>
      <w:pPr>
        <w:spacing w:after="60"/>
      </w:pPr>
      <w:r>
        <w:rPr>
          <w:rFonts w:ascii="Prompt" w:hAnsi="Prompt" w:eastAsia="Prompt" w:cs="Prompt"/>
          <w:i w:val="0"/>
          <w:color w:val="1C2730"/>
          <w:sz w:val="18"/>
        </w:rPr>
        <w:t>กำหนดการอ่าน การเขียน และ reconciliation ระหว่าง WS-Sale-App กับ WINSpeed เพื่อป้องกันเอกสาร/ผลบัญชีซ้ำหรือผิด</w:t>
      </w:r>
    </w:p>
    <w:p>
      <w:pPr>
        <w:pStyle w:val="Heading3"/>
        <w:keepNext/>
      </w:pPr>
      <w:r>
        <w:rPr>
          <w:rFonts w:ascii="Kanit" w:hAnsi="Kanit" w:eastAsia="Kanit" w:cs="Kanit"/>
          <w:b/>
          <w:color w:val="2B8C82"/>
          <w:sz w:val="23"/>
        </w:rPr>
        <w:t>Read contracts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569"/>
        <w:gridCol w:w="3039"/>
        <w:gridCol w:w="4031"/>
      </w:tblGrid>
      <w:tr>
        <w:trPr>
          <w:tblHeader w:val="true"/>
          <w:cantSplit/>
        </w:trPr>
        <w:tc>
          <w:tcPr>
            <w:tcW w:type="dxa" w:w="256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Capability</w:t>
            </w:r>
          </w:p>
        </w:tc>
        <w:tc>
          <w:tcPr>
            <w:tcW w:type="dxa" w:w="303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Source</w:t>
            </w:r>
          </w:p>
        </w:tc>
        <w:tc>
          <w:tcPr>
            <w:tcW w:type="dxa" w:w="403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Contract</w:t>
            </w:r>
          </w:p>
        </w:tc>
      </w:tr>
      <w:tr>
        <w:trPr>
          <w:cantSplit/>
        </w:trPr>
        <w:tc>
          <w:tcPr>
            <w:tcW w:type="dxa" w:w="25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Customers</w:t>
            </w:r>
          </w:p>
        </w:tc>
        <w:tc>
          <w:tcPr>
            <w:tcW w:type="dxa" w:w="303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EMCust / approved view</w:t>
            </w:r>
          </w:p>
        </w:tc>
        <w:tc>
          <w:tcPr>
            <w:tcW w:type="dxa" w:w="403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readonly, parameterized, paginated</w:t>
            </w:r>
          </w:p>
        </w:tc>
      </w:tr>
      <w:tr>
        <w:trPr>
          <w:cantSplit/>
        </w:trPr>
        <w:tc>
          <w:tcPr>
            <w:tcW w:type="dxa" w:w="25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Goods</w:t>
            </w:r>
          </w:p>
        </w:tc>
        <w:tc>
          <w:tcPr>
            <w:tcW w:type="dxa" w:w="303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EMGood / view</w:t>
            </w:r>
          </w:p>
        </w:tc>
        <w:tc>
          <w:tcPr>
            <w:tcW w:type="dxa" w:w="403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readonly, classification explicit</w:t>
            </w:r>
          </w:p>
        </w:tc>
      </w:tr>
      <w:tr>
        <w:trPr>
          <w:cantSplit/>
        </w:trPr>
        <w:tc>
          <w:tcPr>
            <w:tcW w:type="dxa" w:w="25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NET price</w:t>
            </w:r>
          </w:p>
        </w:tc>
        <w:tc>
          <w:tcPr>
            <w:tcW w:type="dxa" w:w="303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EMSetPriceHD/DT / view</w:t>
            </w:r>
          </w:p>
        </w:tc>
        <w:tc>
          <w:tcPr>
            <w:tcW w:type="dxa" w:w="403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effective period/version</w:t>
            </w:r>
          </w:p>
        </w:tc>
      </w:tr>
      <w:tr>
        <w:trPr>
          <w:cantSplit/>
        </w:trPr>
        <w:tc>
          <w:tcPr>
            <w:tcW w:type="dxa" w:w="25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Sales/Reservation</w:t>
            </w:r>
          </w:p>
        </w:tc>
        <w:tc>
          <w:tcPr>
            <w:tcW w:type="dxa" w:w="303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SOHD/SODT / view</w:t>
            </w:r>
          </w:p>
        </w:tc>
        <w:tc>
          <w:tcPr>
            <w:tcW w:type="dxa" w:w="403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DocuType/status explicit</w:t>
            </w:r>
          </w:p>
        </w:tc>
      </w:tr>
      <w:tr>
        <w:trPr>
          <w:cantSplit/>
        </w:trPr>
        <w:tc>
          <w:tcPr>
            <w:tcW w:type="dxa" w:w="25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Invoice/CN</w:t>
            </w:r>
          </w:p>
        </w:tc>
        <w:tc>
          <w:tcPr>
            <w:tcW w:type="dxa" w:w="303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SOInvHD/SOInvDT / view</w:t>
            </w:r>
          </w:p>
        </w:tc>
        <w:tc>
          <w:tcPr>
            <w:tcW w:type="dxa" w:w="403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doc-type mapping explicit</w:t>
            </w:r>
          </w:p>
        </w:tc>
      </w:tr>
      <w:tr>
        <w:trPr>
          <w:cantSplit/>
        </w:trPr>
        <w:tc>
          <w:tcPr>
            <w:tcW w:type="dxa" w:w="25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GL evidence</w:t>
            </w:r>
          </w:p>
        </w:tc>
        <w:tc>
          <w:tcPr>
            <w:tcW w:type="dxa" w:w="303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GLHD/GLDT / view</w:t>
            </w:r>
          </w:p>
        </w:tc>
        <w:tc>
          <w:tcPr>
            <w:tcW w:type="dxa" w:w="403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documented safe join only</w:t>
            </w:r>
          </w:p>
        </w:tc>
      </w:tr>
      <w:tr>
        <w:trPr>
          <w:cantSplit/>
        </w:trPr>
        <w:tc>
          <w:tcPr>
            <w:tcW w:type="dxa" w:w="256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Sales employee</w:t>
            </w:r>
          </w:p>
        </w:tc>
        <w:tc>
          <w:tcPr>
            <w:tcW w:type="dxa" w:w="303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EMEmp</w:t>
            </w:r>
          </w:p>
        </w:tc>
        <w:tc>
          <w:tcPr>
            <w:tcW w:type="dxa" w:w="403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controlled mapping</w:t>
            </w:r>
          </w:p>
        </w:tc>
      </w:tr>
    </w:tbl>
    <w:p>
      <w:pPr>
        <w:pStyle w:val="Heading3"/>
        <w:keepNext/>
      </w:pPr>
      <w:r>
        <w:rPr>
          <w:rFonts w:ascii="Kanit" w:hAnsi="Kanit" w:eastAsia="Kanit" w:cs="Kanit"/>
          <w:b/>
          <w:color w:val="2B8C82"/>
          <w:sz w:val="23"/>
        </w:rPr>
        <w:t>Write contract</w:t>
      </w:r>
    </w:p>
    <w:p>
      <w:pPr>
        <w:spacing w:after="60"/>
      </w:pPr>
      <w:r>
        <w:rPr>
          <w:rFonts w:ascii="Prompt" w:hAnsi="Prompt" w:eastAsia="Prompt" w:cs="Prompt"/>
          <w:i w:val="0"/>
          <w:color w:val="1C2730"/>
          <w:sz w:val="18"/>
        </w:rPr>
        <w:t>See ADR-003. Every write operation requires:</w:t>
      </w:r>
    </w:p>
    <w:p>
      <w:pPr>
        <w:pStyle w:val="ListBullet"/>
        <w:spacing w:after="40"/>
      </w:pPr>
      <w:r>
        <w:rPr>
          <w:rFonts w:ascii="Prompt" w:hAnsi="Prompt" w:eastAsia="Prompt" w:cs="Prompt"/>
          <w:color w:val="1C2730"/>
          <w:sz w:val="18"/>
        </w:rPr>
        <w:t>input schema/validation</w:t>
      </w:r>
    </w:p>
    <w:p>
      <w:pPr>
        <w:pStyle w:val="ListBullet"/>
        <w:spacing w:after="40"/>
      </w:pPr>
      <w:r>
        <w:rPr>
          <w:rFonts w:ascii="Prompt" w:hAnsi="Prompt" w:eastAsia="Prompt" w:cs="Prompt"/>
          <w:color w:val="1C2730"/>
          <w:sz w:val="18"/>
        </w:rPr>
        <w:t>authorization</w:t>
      </w:r>
    </w:p>
    <w:p>
      <w:pPr>
        <w:pStyle w:val="ListBullet"/>
        <w:spacing w:after="40"/>
      </w:pPr>
      <w:r>
        <w:rPr>
          <w:rFonts w:ascii="Prompt" w:hAnsi="Prompt" w:eastAsia="Prompt" w:cs="Prompt"/>
          <w:color w:val="1C2730"/>
          <w:sz w:val="18"/>
        </w:rPr>
        <w:t>idempotency</w:t>
      </w:r>
    </w:p>
    <w:p>
      <w:pPr>
        <w:pStyle w:val="ListBullet"/>
        <w:spacing w:after="40"/>
      </w:pPr>
      <w:r>
        <w:rPr>
          <w:rFonts w:ascii="Prompt" w:hAnsi="Prompt" w:eastAsia="Prompt" w:cs="Prompt"/>
          <w:color w:val="1C2730"/>
          <w:sz w:val="18"/>
        </w:rPr>
        <w:t>expected external reference</w:t>
      </w:r>
    </w:p>
    <w:p>
      <w:pPr>
        <w:pStyle w:val="ListBullet"/>
        <w:spacing w:after="40"/>
      </w:pPr>
      <w:r>
        <w:rPr>
          <w:rFonts w:ascii="Prompt" w:hAnsi="Prompt" w:eastAsia="Prompt" w:cs="Prompt"/>
          <w:color w:val="1C2730"/>
          <w:sz w:val="18"/>
        </w:rPr>
        <w:t>timeout/retry policy</w:t>
      </w:r>
    </w:p>
    <w:p>
      <w:pPr>
        <w:pStyle w:val="ListBullet"/>
        <w:spacing w:after="40"/>
      </w:pPr>
      <w:r>
        <w:rPr>
          <w:rFonts w:ascii="Prompt" w:hAnsi="Prompt" w:eastAsia="Prompt" w:cs="Prompt"/>
          <w:color w:val="1C2730"/>
          <w:sz w:val="18"/>
        </w:rPr>
        <w:t>reconciliation query</w:t>
      </w:r>
    </w:p>
    <w:p>
      <w:pPr>
        <w:pStyle w:val="ListBullet"/>
        <w:spacing w:after="40"/>
      </w:pPr>
      <w:r>
        <w:rPr>
          <w:rFonts w:ascii="Prompt" w:hAnsi="Prompt" w:eastAsia="Prompt" w:cs="Prompt"/>
          <w:color w:val="1C2730"/>
          <w:sz w:val="18"/>
        </w:rPr>
        <w:t>compensation/rollback behavior</w:t>
      </w:r>
    </w:p>
    <w:p>
      <w:pPr>
        <w:pStyle w:val="ListBullet"/>
        <w:spacing w:after="40"/>
      </w:pPr>
      <w:r>
        <w:rPr>
          <w:rFonts w:ascii="Prompt" w:hAnsi="Prompt" w:eastAsia="Prompt" w:cs="Prompt"/>
          <w:color w:val="1C2730"/>
          <w:sz w:val="18"/>
        </w:rPr>
        <w:t>owner/support path</w:t>
      </w:r>
    </w:p>
    <w:p>
      <w:pPr>
        <w:pStyle w:val="Heading3"/>
        <w:keepNext/>
      </w:pPr>
      <w:r>
        <w:rPr>
          <w:rFonts w:ascii="Kanit" w:hAnsi="Kanit" w:eastAsia="Kanit" w:cs="Kanit"/>
          <w:b/>
          <w:color w:val="2B8C82"/>
          <w:sz w:val="23"/>
        </w:rPr>
        <w:t>Controlled SO import target</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166"/>
        <w:gridCol w:w="7473"/>
      </w:tblGrid>
      <w:tr>
        <w:trPr>
          <w:tblHeader w:val="true"/>
          <w:cantSplit/>
        </w:trPr>
        <w:tc>
          <w:tcPr>
            <w:tcW w:type="dxa" w:w="216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Data</w:t>
            </w:r>
          </w:p>
        </w:tc>
        <w:tc>
          <w:tcPr>
            <w:tcW w:type="dxa" w:w="747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Mapping concept</w:t>
            </w:r>
          </w:p>
        </w:tc>
      </w:tr>
      <w:tr>
        <w:trPr>
          <w:cantSplit/>
        </w:trPr>
        <w:tc>
          <w:tcPr>
            <w:tcW w:type="dxa" w:w="216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Header</w:t>
            </w:r>
          </w:p>
        </w:tc>
        <w:tc>
          <w:tcPr>
            <w:tcW w:type="dxa" w:w="74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branch, document, date, customer, ship date, sales/transport, totals, VAT type, sale area, doc type</w:t>
            </w:r>
          </w:p>
        </w:tc>
      </w:tr>
      <w:tr>
        <w:trPr>
          <w:cantSplit/>
        </w:trPr>
        <w:tc>
          <w:tcPr>
            <w:tcW w:type="dxa" w:w="216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Detail</w:t>
            </w:r>
          </w:p>
        </w:tc>
        <w:tc>
          <w:tcPr>
            <w:tcW w:type="dxa" w:w="747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good, inventory/location, UOM, quantity, price, discount, amount</w:t>
            </w:r>
          </w:p>
        </w:tc>
      </w:tr>
      <w:tr>
        <w:trPr>
          <w:cantSplit/>
        </w:trPr>
        <w:tc>
          <w:tcPr>
            <w:tcW w:type="dxa" w:w="216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Giveaway</w:t>
            </w:r>
          </w:p>
        </w:tc>
        <w:tc>
          <w:tcPr>
            <w:tcW w:type="dxa" w:w="747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separate zero-price line only when approved</w:t>
            </w:r>
          </w:p>
        </w:tc>
      </w:tr>
      <w:tr>
        <w:trPr>
          <w:cantSplit/>
        </w:trPr>
        <w:tc>
          <w:tcPr>
            <w:tcW w:type="dxa" w:w="2166"/>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Reference</w:t>
            </w:r>
          </w:p>
        </w:tc>
        <w:tc>
          <w:tcPr>
            <w:tcW w:type="dxa" w:w="7473"/>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app SO/ref and correlation/idempotency retained</w:t>
            </w:r>
          </w:p>
        </w:tc>
      </w:tr>
    </w:tbl>
    <w:p>
      <w:pPr>
        <w:pStyle w:val="Heading3"/>
        <w:keepNext/>
      </w:pPr>
      <w:r>
        <w:rPr>
          <w:rFonts w:ascii="Kanit" w:hAnsi="Kanit" w:eastAsia="Kanit" w:cs="Kanit"/>
          <w:b/>
          <w:color w:val="2B8C82"/>
          <w:sz w:val="23"/>
        </w:rPr>
        <w:t>Financial safety</w:t>
      </w:r>
    </w:p>
    <w:p>
      <w:pPr>
        <w:pStyle w:val="ListBullet"/>
        <w:spacing w:after="40"/>
      </w:pPr>
      <w:r>
        <w:rPr>
          <w:rFonts w:ascii="Prompt" w:hAnsi="Prompt" w:eastAsia="Prompt" w:cs="Prompt"/>
          <w:color w:val="1C2730"/>
          <w:sz w:val="18"/>
        </w:rPr>
        <w:t>no direct GL insert/update</w:t>
      </w:r>
    </w:p>
    <w:p>
      <w:pPr>
        <w:pStyle w:val="ListBullet"/>
        <w:spacing w:after="40"/>
      </w:pPr>
      <w:r>
        <w:rPr>
          <w:rFonts w:ascii="Prompt" w:hAnsi="Prompt" w:eastAsia="Prompt" w:cs="Prompt"/>
          <w:color w:val="1C2730"/>
          <w:sz w:val="18"/>
        </w:rPr>
        <w:t>invoice/CN posting stays in WINSpeed-authorized process</w:t>
      </w:r>
    </w:p>
    <w:p>
      <w:pPr>
        <w:pStyle w:val="ListBullet"/>
        <w:spacing w:after="40"/>
      </w:pPr>
      <w:r>
        <w:rPr>
          <w:rFonts w:ascii="Prompt" w:hAnsi="Prompt" w:eastAsia="Prompt" w:cs="Prompt"/>
          <w:color w:val="1C2730"/>
          <w:sz w:val="18"/>
        </w:rPr>
        <w:t>app request is not financial success until external reconciliation passes</w:t>
      </w:r>
    </w:p>
    <w:p>
      <w:pPr>
        <w:pStyle w:val="ListBullet"/>
        <w:spacing w:after="40"/>
      </w:pPr>
      <w:r>
        <w:rPr>
          <w:rFonts w:ascii="Prompt" w:hAnsi="Prompt" w:eastAsia="Prompt" w:cs="Prompt"/>
          <w:color w:val="1C2730"/>
          <w:sz w:val="18"/>
        </w:rPr>
        <w:t>mismatch has owner, state, time and resolution evidence</w:t>
      </w:r>
    </w:p>
    <w:p>
      <w:pPr>
        <w:pStyle w:val="Heading3"/>
        <w:keepNext/>
      </w:pPr>
      <w:r>
        <w:rPr>
          <w:rFonts w:ascii="Kanit" w:hAnsi="Kanit" w:eastAsia="Kanit" w:cs="Kanit"/>
          <w:b/>
          <w:color w:val="2B8C82"/>
          <w:sz w:val="23"/>
        </w:rPr>
        <w:t>Prohibited assumptions</w:t>
      </w:r>
    </w:p>
    <w:p>
      <w:pPr>
        <w:pStyle w:val="ListBullet"/>
        <w:spacing w:after="40"/>
      </w:pPr>
      <w:r>
        <w:rPr>
          <w:rFonts w:ascii="Prompt" w:hAnsi="Prompt" w:eastAsia="Prompt" w:cs="Prompt"/>
          <w:color w:val="1C2730"/>
          <w:sz w:val="18"/>
        </w:rPr>
        <w:t>do not join GL/invoice by coincidental numeric ID</w:t>
      </w:r>
    </w:p>
    <w:p>
      <w:pPr>
        <w:pStyle w:val="ListBullet"/>
        <w:spacing w:after="40"/>
      </w:pPr>
      <w:r>
        <w:rPr>
          <w:rFonts w:ascii="Prompt" w:hAnsi="Prompt" w:eastAsia="Prompt" w:cs="Prompt"/>
          <w:color w:val="1C2730"/>
          <w:sz w:val="18"/>
        </w:rPr>
        <w:t>do not assume stock table represents physical availability without signed decision</w:t>
      </w:r>
    </w:p>
    <w:p>
      <w:pPr>
        <w:pStyle w:val="ListBullet"/>
        <w:spacing w:after="40"/>
      </w:pPr>
      <w:r>
        <w:rPr>
          <w:rFonts w:ascii="Prompt" w:hAnsi="Prompt" w:eastAsia="Prompt" w:cs="Prompt"/>
          <w:color w:val="1C2730"/>
          <w:sz w:val="18"/>
        </w:rPr>
        <w:t>do not infer CN link from a nullable field without DocuType logic</w:t>
      </w:r>
    </w:p>
    <w:p>
      <w:r>
        <w:br w:type="page"/>
      </w:r>
    </w:p>
    <w:p>
      <w:pPr>
        <w:pStyle w:val="Heading1"/>
        <w:keepNext/>
      </w:pPr>
      <w:r>
        <w:rPr>
          <w:rFonts w:ascii="Kanit" w:hAnsi="Kanit" w:eastAsia="Kanit" w:cs="Kanit"/>
          <w:b/>
          <w:color w:val="15334A"/>
          <w:sz w:val="34"/>
        </w:rPr>
        <w:t>Security Architecture and Hardening Standard</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docs/enterprise/05-SECURITY-DEVOPS/SECURITY-ARCHITECTURE.md · SHA-256 BD0FBC919CD9FA9AE7981296DE44B762BA087574E48ED44DBC4B33A4C08B006E · merged as Review content</w:t>
            </w:r>
          </w:p>
        </w:tc>
      </w:tr>
    </w:tbl>
    <w:p>
      <w:pPr>
        <w:spacing w:after="0" w:line="96" w:lineRule="auto"/>
      </w:pPr>
    </w:p>
    <w:p>
      <w:pPr>
        <w:pStyle w:val="Heading3"/>
        <w:keepNext/>
      </w:pPr>
      <w:r>
        <w:rPr>
          <w:rFonts w:ascii="Kanit" w:hAnsi="Kanit" w:eastAsia="Kanit" w:cs="Kanit"/>
          <w:b/>
          <w:color w:val="2B8C82"/>
          <w:sz w:val="23"/>
        </w:rPr>
        <w:t>Security objectives</w:t>
      </w:r>
    </w:p>
    <w:p>
      <w:pPr>
        <w:spacing w:after="60"/>
      </w:pPr>
      <w:r>
        <w:rPr>
          <w:rFonts w:ascii="Prompt" w:hAnsi="Prompt" w:eastAsia="Prompt" w:cs="Prompt"/>
          <w:i w:val="0"/>
          <w:color w:val="1C2730"/>
          <w:sz w:val="18"/>
        </w:rPr>
        <w:t>Protect credentials, business data, operational continuity and accounting integrity while remaining practical for factory users.</w:t>
      </w:r>
    </w:p>
    <w:p>
      <w:pPr>
        <w:pStyle w:val="Heading3"/>
        <w:keepNext/>
      </w:pPr>
      <w:r>
        <w:rPr>
          <w:rFonts w:ascii="Kanit" w:hAnsi="Kanit" w:eastAsia="Kanit" w:cs="Kanit"/>
          <w:b/>
          <w:color w:val="2B8C82"/>
          <w:sz w:val="23"/>
        </w:rPr>
        <w:t>Mandatory P0 controls before Full Production</w:t>
      </w:r>
    </w:p>
    <w:p>
      <w:pPr>
        <w:pStyle w:val="ListBullet"/>
        <w:spacing w:after="40"/>
      </w:pPr>
      <w:r>
        <w:rPr>
          <w:rFonts w:ascii="Prompt" w:hAnsi="Prompt" w:eastAsia="Prompt" w:cs="Prompt"/>
          <w:color w:val="1C2730"/>
          <w:sz w:val="18"/>
        </w:rPr>
        <w:t>rotate all SQL Server, MySQL, JWT, seed-user and provider credentials exposed in history/defaults</w:t>
      </w:r>
    </w:p>
    <w:p>
      <w:pPr>
        <w:pStyle w:val="ListBullet"/>
        <w:spacing w:after="40"/>
      </w:pPr>
      <w:r>
        <w:rPr>
          <w:rFonts w:ascii="Prompt" w:hAnsi="Prompt" w:eastAsia="Prompt" w:cs="Prompt"/>
          <w:color w:val="1C2730"/>
          <w:sz w:val="18"/>
        </w:rPr>
        <w:t>remove runtime use of sa, root or equivalent superuser</w:t>
      </w:r>
    </w:p>
    <w:p>
      <w:pPr>
        <w:pStyle w:val="ListBullet"/>
        <w:spacing w:after="40"/>
      </w:pPr>
      <w:r>
        <w:rPr>
          <w:rFonts w:ascii="Prompt" w:hAnsi="Prompt" w:eastAsia="Prompt" w:cs="Prompt"/>
          <w:color w:val="1C2730"/>
          <w:sz w:val="18"/>
        </w:rPr>
        <w:t>create least-privilege identities:</w:t>
      </w:r>
    </w:p>
    <w:p>
      <w:pPr>
        <w:pStyle w:val="ListBullet2"/>
        <w:spacing w:after="40"/>
      </w:pPr>
      <w:r>
        <w:rPr>
          <w:rFonts w:ascii="Prompt" w:hAnsi="Prompt" w:eastAsia="Prompt" w:cs="Prompt"/>
          <w:color w:val="1C2730"/>
          <w:sz w:val="18"/>
        </w:rPr>
        <w:t>wf_owner: schema deployment/control only</w:t>
      </w:r>
    </w:p>
    <w:p>
      <w:pPr>
        <w:pStyle w:val="ListBullet2"/>
        <w:spacing w:after="40"/>
      </w:pPr>
      <w:r>
        <w:rPr>
          <w:rFonts w:ascii="Prompt" w:hAnsi="Prompt" w:eastAsia="Prompt" w:cs="Prompt"/>
          <w:color w:val="1C2730"/>
          <w:sz w:val="18"/>
        </w:rPr>
        <w:t>wf_app: wf write + only approved external rights</w:t>
      </w:r>
    </w:p>
    <w:p>
      <w:pPr>
        <w:pStyle w:val="ListBullet2"/>
        <w:spacing w:after="40"/>
      </w:pPr>
      <w:r>
        <w:rPr>
          <w:rFonts w:ascii="Prompt" w:hAnsi="Prompt" w:eastAsia="Prompt" w:cs="Prompt"/>
          <w:color w:val="1C2730"/>
          <w:sz w:val="18"/>
        </w:rPr>
        <w:t>ws_reader: approved WINSpeed readonly views</w:t>
      </w:r>
    </w:p>
    <w:p>
      <w:pPr>
        <w:pStyle w:val="ListBullet2"/>
        <w:spacing w:after="40"/>
      </w:pPr>
      <w:r>
        <w:rPr>
          <w:rFonts w:ascii="Prompt" w:hAnsi="Prompt" w:eastAsia="Prompt" w:cs="Prompt"/>
          <w:color w:val="1C2730"/>
          <w:sz w:val="18"/>
        </w:rPr>
        <w:t>truckscale_bridge: SELECT on completed-weigh/reference tables + INSERT/DELETE only on tbl_keyone</w:t>
      </w:r>
    </w:p>
    <w:p>
      <w:pPr>
        <w:pStyle w:val="ListBullet"/>
        <w:spacing w:after="40"/>
      </w:pPr>
      <w:r>
        <w:rPr>
          <w:rFonts w:ascii="Prompt" w:hAnsi="Prompt" w:eastAsia="Prompt" w:cs="Prompt"/>
          <w:color w:val="1C2730"/>
          <w:sz w:val="18"/>
        </w:rPr>
        <w:t>store secrets only in approved secret manager/platform environment</w:t>
      </w:r>
    </w:p>
    <w:p>
      <w:pPr>
        <w:pStyle w:val="ListBullet"/>
        <w:spacing w:after="40"/>
      </w:pPr>
      <w:r>
        <w:rPr>
          <w:rFonts w:ascii="Prompt" w:hAnsi="Prompt" w:eastAsia="Prompt" w:cs="Prompt"/>
          <w:color w:val="1C2730"/>
          <w:sz w:val="18"/>
        </w:rPr>
        <w:t>block .env in source and enable secret scanning</w:t>
      </w:r>
    </w:p>
    <w:p>
      <w:pPr>
        <w:pStyle w:val="ListBullet"/>
        <w:spacing w:after="40"/>
      </w:pPr>
      <w:r>
        <w:rPr>
          <w:rFonts w:ascii="Prompt" w:hAnsi="Prompt" w:eastAsia="Prompt" w:cs="Prompt"/>
          <w:color w:val="1C2730"/>
          <w:sz w:val="18"/>
        </w:rPr>
        <w:t>enforce CORS allowlist, login rate limit, security headers, TLS and health</w:t>
      </w:r>
    </w:p>
    <w:p>
      <w:pPr>
        <w:pStyle w:val="ListBullet"/>
        <w:spacing w:after="40"/>
      </w:pPr>
      <w:r>
        <w:rPr>
          <w:rFonts w:ascii="Prompt" w:hAnsi="Prompt" w:eastAsia="Prompt" w:cs="Prompt"/>
          <w:color w:val="1C2730"/>
          <w:sz w:val="18"/>
        </w:rPr>
        <w:t>retain structured audit logs</w:t>
      </w:r>
    </w:p>
    <w:p>
      <w:pPr>
        <w:pStyle w:val="Heading3"/>
        <w:keepNext/>
      </w:pPr>
      <w:r>
        <w:rPr>
          <w:rFonts w:ascii="Kanit" w:hAnsi="Kanit" w:eastAsia="Kanit" w:cs="Kanit"/>
          <w:b/>
          <w:color w:val="2B8C82"/>
          <w:sz w:val="23"/>
        </w:rPr>
        <w:t>Access control model</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3272"/>
        <w:gridCol w:w="6367"/>
      </w:tblGrid>
      <w:tr>
        <w:trPr>
          <w:tblHeader w:val="true"/>
          <w:cantSplit/>
        </w:trPr>
        <w:tc>
          <w:tcPr>
            <w:tcW w:type="dxa" w:w="327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Layer</w:t>
            </w:r>
          </w:p>
        </w:tc>
        <w:tc>
          <w:tcPr>
            <w:tcW w:type="dxa" w:w="636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Control</w:t>
            </w:r>
          </w:p>
        </w:tc>
      </w:tr>
      <w:tr>
        <w:trPr>
          <w:cantSplit/>
        </w:trPr>
        <w:tc>
          <w:tcPr>
            <w:tcW w:type="dxa" w:w="327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Browser</w:t>
            </w:r>
          </w:p>
        </w:tc>
        <w:tc>
          <w:tcPr>
            <w:tcW w:type="dxa" w:w="636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no secret; role-aware UX only</w:t>
            </w:r>
          </w:p>
        </w:tc>
      </w:tr>
      <w:tr>
        <w:trPr>
          <w:cantSplit/>
        </w:trPr>
        <w:tc>
          <w:tcPr>
            <w:tcW w:type="dxa" w:w="327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API</w:t>
            </w:r>
          </w:p>
        </w:tc>
        <w:tc>
          <w:tcPr>
            <w:tcW w:type="dxa" w:w="636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token, RBAC, object/state authorization</w:t>
            </w:r>
          </w:p>
        </w:tc>
      </w:tr>
      <w:tr>
        <w:trPr>
          <w:cantSplit/>
        </w:trPr>
        <w:tc>
          <w:tcPr>
            <w:tcW w:type="dxa" w:w="327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Database</w:t>
            </w:r>
          </w:p>
        </w:tc>
        <w:tc>
          <w:tcPr>
            <w:tcW w:type="dxa" w:w="636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least privilege/separate identities</w:t>
            </w:r>
          </w:p>
        </w:tc>
      </w:tr>
      <w:tr>
        <w:trPr>
          <w:cantSplit/>
        </w:trPr>
        <w:tc>
          <w:tcPr>
            <w:tcW w:type="dxa" w:w="327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Infrastructure</w:t>
            </w:r>
          </w:p>
        </w:tc>
        <w:tc>
          <w:tcPr>
            <w:tcW w:type="dxa" w:w="636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private endpoint/VPN/allowlist/MFA</w:t>
            </w:r>
          </w:p>
        </w:tc>
      </w:tr>
      <w:tr>
        <w:trPr>
          <w:cantSplit/>
        </w:trPr>
        <w:tc>
          <w:tcPr>
            <w:tcW w:type="dxa" w:w="327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Admin</w:t>
            </w:r>
          </w:p>
        </w:tc>
        <w:tc>
          <w:tcPr>
            <w:tcW w:type="dxa" w:w="636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privilege approval and review</w:t>
            </w:r>
          </w:p>
        </w:tc>
      </w:tr>
      <w:tr>
        <w:trPr>
          <w:cantSplit/>
        </w:trPr>
        <w:tc>
          <w:tcPr>
            <w:tcW w:type="dxa" w:w="327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Audit</w:t>
            </w:r>
          </w:p>
        </w:tc>
        <w:tc>
          <w:tcPr>
            <w:tcW w:type="dxa" w:w="6367"/>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append-only business/security events</w:t>
            </w:r>
          </w:p>
        </w:tc>
      </w:tr>
    </w:tbl>
    <w:p>
      <w:pPr>
        <w:pStyle w:val="Heading3"/>
        <w:keepNext/>
      </w:pPr>
      <w:r>
        <w:rPr>
          <w:rFonts w:ascii="Kanit" w:hAnsi="Kanit" w:eastAsia="Kanit" w:cs="Kanit"/>
          <w:b/>
          <w:color w:val="2B8C82"/>
          <w:sz w:val="23"/>
        </w:rPr>
        <w:t>Data classification</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939"/>
        <w:gridCol w:w="4105"/>
        <w:gridCol w:w="3595"/>
      </w:tblGrid>
      <w:tr>
        <w:trPr>
          <w:tblHeader w:val="true"/>
          <w:cantSplit/>
        </w:trPr>
        <w:tc>
          <w:tcPr>
            <w:tcW w:type="dxa" w:w="193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Class</w:t>
            </w:r>
          </w:p>
        </w:tc>
        <w:tc>
          <w:tcPr>
            <w:tcW w:type="dxa" w:w="410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Example</w:t>
            </w:r>
          </w:p>
        </w:tc>
        <w:tc>
          <w:tcPr>
            <w:tcW w:type="dxa" w:w="3595"/>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Controls</w:t>
            </w:r>
          </w:p>
        </w:tc>
      </w:tr>
      <w:tr>
        <w:trPr>
          <w:cantSplit/>
        </w:trPr>
        <w:tc>
          <w:tcPr>
            <w:tcW w:type="dxa" w:w="193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Restricted</w:t>
            </w:r>
          </w:p>
        </w:tc>
        <w:tc>
          <w:tcPr>
            <w:tcW w:type="dxa" w:w="410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password, token, connection credential</w:t>
            </w:r>
          </w:p>
        </w:tc>
        <w:tc>
          <w:tcPr>
            <w:tcW w:type="dxa" w:w="35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secret store; never log</w:t>
            </w:r>
          </w:p>
        </w:tc>
      </w:tr>
      <w:tr>
        <w:trPr>
          <w:cantSplit/>
        </w:trPr>
        <w:tc>
          <w:tcPr>
            <w:tcW w:type="dxa" w:w="193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Confidential</w:t>
            </w:r>
          </w:p>
        </w:tc>
        <w:tc>
          <w:tcPr>
            <w:tcW w:type="dxa" w:w="410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price/rebate/customer commercial data</w:t>
            </w:r>
          </w:p>
        </w:tc>
        <w:tc>
          <w:tcPr>
            <w:tcW w:type="dxa" w:w="35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role access/encrypted transport</w:t>
            </w:r>
          </w:p>
        </w:tc>
      </w:tr>
      <w:tr>
        <w:trPr>
          <w:cantSplit/>
        </w:trPr>
        <w:tc>
          <w:tcPr>
            <w:tcW w:type="dxa" w:w="193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Personal</w:t>
            </w:r>
          </w:p>
        </w:tc>
        <w:tc>
          <w:tcPr>
            <w:tcW w:type="dxa" w:w="410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driver/contact</w:t>
            </w:r>
          </w:p>
        </w:tc>
        <w:tc>
          <w:tcPr>
            <w:tcW w:type="dxa" w:w="3595"/>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minimize/mask/retention policy</w:t>
            </w:r>
          </w:p>
        </w:tc>
      </w:tr>
      <w:tr>
        <w:trPr>
          <w:cantSplit/>
        </w:trPr>
        <w:tc>
          <w:tcPr>
            <w:tcW w:type="dxa" w:w="193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Internal</w:t>
            </w:r>
          </w:p>
        </w:tc>
        <w:tc>
          <w:tcPr>
            <w:tcW w:type="dxa" w:w="410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operating status/report</w:t>
            </w:r>
          </w:p>
        </w:tc>
        <w:tc>
          <w:tcPr>
            <w:tcW w:type="dxa" w:w="3595"/>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authorized access</w:t>
            </w:r>
          </w:p>
        </w:tc>
      </w:tr>
      <w:tr>
        <w:trPr>
          <w:cantSplit/>
        </w:trPr>
        <w:tc>
          <w:tcPr>
            <w:tcW w:type="dxa" w:w="193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Public</w:t>
            </w:r>
          </w:p>
        </w:tc>
        <w:tc>
          <w:tcPr>
            <w:tcW w:type="dxa" w:w="410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approved marketing</w:t>
            </w:r>
          </w:p>
        </w:tc>
        <w:tc>
          <w:tcPr>
            <w:tcW w:type="dxa" w:w="3595"/>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publication approval</w:t>
            </w:r>
          </w:p>
        </w:tc>
      </w:tr>
    </w:tbl>
    <w:p>
      <w:pPr>
        <w:pStyle w:val="Heading3"/>
        <w:keepNext/>
      </w:pPr>
      <w:r>
        <w:rPr>
          <w:rFonts w:ascii="Kanit" w:hAnsi="Kanit" w:eastAsia="Kanit" w:cs="Kanit"/>
          <w:b/>
          <w:color w:val="2B8C82"/>
          <w:sz w:val="23"/>
        </w:rPr>
        <w:t>Secure development</w:t>
      </w:r>
    </w:p>
    <w:p>
      <w:pPr>
        <w:pStyle w:val="ListBullet"/>
        <w:spacing w:after="40"/>
      </w:pPr>
      <w:r>
        <w:rPr>
          <w:rFonts w:ascii="Prompt" w:hAnsi="Prompt" w:eastAsia="Prompt" w:cs="Prompt"/>
          <w:color w:val="1C2730"/>
          <w:sz w:val="18"/>
        </w:rPr>
        <w:t>dependency and vulnerability scan</w:t>
      </w:r>
    </w:p>
    <w:p>
      <w:pPr>
        <w:pStyle w:val="ListBullet"/>
        <w:spacing w:after="40"/>
      </w:pPr>
      <w:r>
        <w:rPr>
          <w:rFonts w:ascii="Prompt" w:hAnsi="Prompt" w:eastAsia="Prompt" w:cs="Prompt"/>
          <w:color w:val="1C2730"/>
          <w:sz w:val="18"/>
        </w:rPr>
        <w:t>SAST/lint/type check</w:t>
      </w:r>
    </w:p>
    <w:p>
      <w:pPr>
        <w:pStyle w:val="ListBullet"/>
        <w:spacing w:after="40"/>
      </w:pPr>
      <w:r>
        <w:rPr>
          <w:rFonts w:ascii="Prompt" w:hAnsi="Prompt" w:eastAsia="Prompt" w:cs="Prompt"/>
          <w:color w:val="1C2730"/>
          <w:sz w:val="18"/>
        </w:rPr>
        <w:t>secret scan pre-commit/CI</w:t>
      </w:r>
    </w:p>
    <w:p>
      <w:pPr>
        <w:pStyle w:val="ListBullet"/>
        <w:spacing w:after="40"/>
      </w:pPr>
      <w:r>
        <w:rPr>
          <w:rFonts w:ascii="Prompt" w:hAnsi="Prompt" w:eastAsia="Prompt" w:cs="Prompt"/>
          <w:color w:val="1C2730"/>
          <w:sz w:val="18"/>
        </w:rPr>
        <w:t>parameterized SQL/input validation</w:t>
      </w:r>
    </w:p>
    <w:p>
      <w:pPr>
        <w:pStyle w:val="ListBullet"/>
        <w:spacing w:after="40"/>
      </w:pPr>
      <w:r>
        <w:rPr>
          <w:rFonts w:ascii="Prompt" w:hAnsi="Prompt" w:eastAsia="Prompt" w:cs="Prompt"/>
          <w:color w:val="1C2730"/>
          <w:sz w:val="18"/>
        </w:rPr>
        <w:t>no raw error stack to client</w:t>
      </w:r>
    </w:p>
    <w:p>
      <w:pPr>
        <w:pStyle w:val="ListBullet"/>
        <w:spacing w:after="40"/>
      </w:pPr>
      <w:r>
        <w:rPr>
          <w:rFonts w:ascii="Prompt" w:hAnsi="Prompt" w:eastAsia="Prompt" w:cs="Prompt"/>
          <w:color w:val="1C2730"/>
          <w:sz w:val="18"/>
        </w:rPr>
        <w:t>negative role/security tests</w:t>
      </w:r>
    </w:p>
    <w:p>
      <w:pPr>
        <w:pStyle w:val="ListBullet"/>
        <w:spacing w:after="40"/>
      </w:pPr>
      <w:r>
        <w:rPr>
          <w:rFonts w:ascii="Prompt" w:hAnsi="Prompt" w:eastAsia="Prompt" w:cs="Prompt"/>
          <w:color w:val="1C2730"/>
          <w:sz w:val="18"/>
        </w:rPr>
        <w:t>restore and incident exercises</w:t>
      </w:r>
    </w:p>
    <w:p>
      <w:pPr>
        <w:pStyle w:val="Heading3"/>
        <w:keepNext/>
      </w:pPr>
      <w:r>
        <w:rPr>
          <w:rFonts w:ascii="Kanit" w:hAnsi="Kanit" w:eastAsia="Kanit" w:cs="Kanit"/>
          <w:b/>
          <w:color w:val="2B8C82"/>
          <w:sz w:val="23"/>
        </w:rPr>
        <w:t>Security incident response</w:t>
      </w:r>
    </w:p>
    <w:p>
      <w:pPr>
        <w:spacing w:after="60"/>
      </w:pPr>
      <w:r>
        <w:rPr>
          <w:rFonts w:ascii="Prompt" w:hAnsi="Prompt" w:eastAsia="Prompt" w:cs="Prompt"/>
          <w:i w:val="0"/>
          <w:color w:val="1C2730"/>
          <w:sz w:val="18"/>
        </w:rPr>
        <w:t>Detect → Triage → Contain → Eradicate → Recover → Notify by policy → Post-incident corrective action</w:t>
      </w:r>
    </w:p>
    <w:p>
      <w:r>
        <w:br w:type="page"/>
      </w:r>
    </w:p>
    <w:p>
      <w:pPr>
        <w:pStyle w:val="Heading1"/>
        <w:keepNext/>
      </w:pPr>
      <w:r>
        <w:rPr>
          <w:rFonts w:ascii="Kanit" w:hAnsi="Kanit" w:eastAsia="Kanit" w:cs="Kanit"/>
          <w:b/>
          <w:color w:val="15334A"/>
          <w:sz w:val="34"/>
        </w:rPr>
        <w:t>Deployment, CI/CD and Environment Management</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docs/enterprise/05-SECURITY-DEVOPS/DEPLOYMENT-AND-CI-CD.md · SHA-256 BAB94E26A0571D26875CCDB2E38BDF89BA2DA8D7A743E11ED7197186246642CC · merged as Review content</w:t>
            </w:r>
          </w:p>
        </w:tc>
      </w:tr>
    </w:tbl>
    <w:p>
      <w:pPr>
        <w:spacing w:after="0" w:line="96" w:lineRule="auto"/>
      </w:pPr>
    </w:p>
    <w:p>
      <w:pPr>
        <w:pStyle w:val="Heading3"/>
        <w:keepNext/>
      </w:pPr>
      <w:r>
        <w:rPr>
          <w:rFonts w:ascii="Kanit" w:hAnsi="Kanit" w:eastAsia="Kanit" w:cs="Kanit"/>
          <w:b/>
          <w:color w:val="2B8C82"/>
          <w:sz w:val="23"/>
        </w:rPr>
        <w:t>Environment model</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860"/>
        <w:gridCol w:w="2523"/>
        <w:gridCol w:w="3090"/>
        <w:gridCol w:w="2166"/>
      </w:tblGrid>
      <w:tr>
        <w:trPr>
          <w:tblHeader w:val="true"/>
          <w:cantSplit/>
        </w:trPr>
        <w:tc>
          <w:tcPr>
            <w:tcW w:type="dxa" w:w="186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Environment</w:t>
            </w:r>
          </w:p>
        </w:tc>
        <w:tc>
          <w:tcPr>
            <w:tcW w:type="dxa" w:w="2523"/>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Purpose</w:t>
            </w:r>
          </w:p>
        </w:tc>
        <w:tc>
          <w:tcPr>
            <w:tcW w:type="dxa" w:w="309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Data</w:t>
            </w:r>
          </w:p>
        </w:tc>
        <w:tc>
          <w:tcPr>
            <w:tcW w:type="dxa" w:w="2166"/>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Access</w:t>
            </w:r>
          </w:p>
        </w:tc>
      </w:tr>
      <w:tr>
        <w:trPr>
          <w:cantSplit/>
        </w:trPr>
        <w:tc>
          <w:tcPr>
            <w:tcW w:type="dxa" w:w="186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Local</w:t>
            </w:r>
          </w:p>
        </w:tc>
        <w:tc>
          <w:tcPr>
            <w:tcW w:type="dxa" w:w="252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development</w:t>
            </w:r>
          </w:p>
        </w:tc>
        <w:tc>
          <w:tcPr>
            <w:tcW w:type="dxa" w:w="309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synthetic/sanitized</w:t>
            </w:r>
          </w:p>
        </w:tc>
        <w:tc>
          <w:tcPr>
            <w:tcW w:type="dxa" w:w="216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developer</w:t>
            </w:r>
          </w:p>
        </w:tc>
      </w:tr>
      <w:tr>
        <w:trPr>
          <w:cantSplit/>
        </w:trPr>
        <w:tc>
          <w:tcPr>
            <w:tcW w:type="dxa" w:w="186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DEV</w:t>
            </w:r>
          </w:p>
        </w:tc>
        <w:tc>
          <w:tcPr>
            <w:tcW w:type="dxa" w:w="252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integration</w:t>
            </w:r>
          </w:p>
        </w:tc>
        <w:tc>
          <w:tcPr>
            <w:tcW w:type="dxa" w:w="309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synthetic/sanitized</w:t>
            </w:r>
          </w:p>
        </w:tc>
        <w:tc>
          <w:tcPr>
            <w:tcW w:type="dxa" w:w="216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dev/QA</w:t>
            </w:r>
          </w:p>
        </w:tc>
      </w:tr>
      <w:tr>
        <w:trPr>
          <w:cantSplit/>
        </w:trPr>
        <w:tc>
          <w:tcPr>
            <w:tcW w:type="dxa" w:w="186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UAT</w:t>
            </w:r>
          </w:p>
        </w:tc>
        <w:tc>
          <w:tcPr>
            <w:tcW w:type="dxa" w:w="2523"/>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business validation</w:t>
            </w:r>
          </w:p>
        </w:tc>
        <w:tc>
          <w:tcPr>
            <w:tcW w:type="dxa" w:w="309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masked/approved</w:t>
            </w:r>
          </w:p>
        </w:tc>
        <w:tc>
          <w:tcPr>
            <w:tcW w:type="dxa" w:w="2166"/>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users/QA</w:t>
            </w:r>
          </w:p>
        </w:tc>
      </w:tr>
      <w:tr>
        <w:trPr>
          <w:cantSplit/>
        </w:trPr>
        <w:tc>
          <w:tcPr>
            <w:tcW w:type="dxa" w:w="186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PILOT</w:t>
            </w:r>
          </w:p>
        </w:tc>
        <w:tc>
          <w:tcPr>
            <w:tcW w:type="dxa" w:w="2523"/>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dual-run</w:t>
            </w:r>
          </w:p>
        </w:tc>
        <w:tc>
          <w:tcPr>
            <w:tcW w:type="dxa" w:w="309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controlled production-like</w:t>
            </w:r>
          </w:p>
        </w:tc>
        <w:tc>
          <w:tcPr>
            <w:tcW w:type="dxa" w:w="2166"/>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limited</w:t>
            </w:r>
          </w:p>
        </w:tc>
      </w:tr>
      <w:tr>
        <w:trPr>
          <w:cantSplit/>
        </w:trPr>
        <w:tc>
          <w:tcPr>
            <w:tcW w:type="dxa" w:w="186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PROD</w:t>
            </w:r>
          </w:p>
        </w:tc>
        <w:tc>
          <w:tcPr>
            <w:tcW w:type="dxa" w:w="2523"/>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live</w:t>
            </w:r>
          </w:p>
        </w:tc>
        <w:tc>
          <w:tcPr>
            <w:tcW w:type="dxa" w:w="309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production</w:t>
            </w:r>
          </w:p>
        </w:tc>
        <w:tc>
          <w:tcPr>
            <w:tcW w:type="dxa" w:w="2166"/>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least privilege</w:t>
            </w:r>
          </w:p>
        </w:tc>
      </w:tr>
    </w:tbl>
    <w:p>
      <w:pPr>
        <w:spacing w:after="60"/>
      </w:pPr>
      <w:r>
        <w:rPr>
          <w:rFonts w:ascii="Prompt" w:hAnsi="Prompt" w:eastAsia="Prompt" w:cs="Prompt"/>
          <w:i w:val="0"/>
          <w:color w:val="1C2730"/>
          <w:sz w:val="18"/>
        </w:rPr>
        <w:t>Production data must not move to local/dev without written approval and masking.</w:t>
      </w:r>
    </w:p>
    <w:p>
      <w:pPr>
        <w:pStyle w:val="Heading3"/>
        <w:keepNext/>
      </w:pPr>
      <w:r>
        <w:rPr>
          <w:rFonts w:ascii="Kanit" w:hAnsi="Kanit" w:eastAsia="Kanit" w:cs="Kanit"/>
          <w:b/>
          <w:color w:val="2B8C82"/>
          <w:sz w:val="23"/>
        </w:rPr>
        <w:t>CI pipeline target</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Diagram source  </w:t>
            </w:r>
            <w:r>
              <w:rPr>
                <w:rFonts w:ascii="Prompt" w:hAnsi="Prompt" w:eastAsia="Prompt" w:cs="Prompt"/>
                <w:b w:val="0"/>
                <w:color w:val="1C2730"/>
                <w:sz w:val="18"/>
              </w:rPr>
              <w:t>Mermaid source is retained in Markdown; the reviewed high-resolution rendering is embedded in the figure section.</w:t>
            </w:r>
          </w:p>
        </w:tc>
      </w:tr>
    </w:tbl>
    <w:p>
      <w:pPr>
        <w:spacing w:after="0" w:line="96" w:lineRule="auto"/>
      </w:pPr>
    </w:p>
    <w:p>
      <w:pPr>
        <w:pStyle w:val="Heading3"/>
        <w:keepNext/>
      </w:pPr>
      <w:r>
        <w:rPr>
          <w:rFonts w:ascii="Kanit" w:hAnsi="Kanit" w:eastAsia="Kanit" w:cs="Kanit"/>
          <w:b/>
          <w:color w:val="2B8C82"/>
          <w:sz w:val="23"/>
        </w:rPr>
        <w:t>Release procedure</w:t>
      </w:r>
    </w:p>
    <w:p>
      <w:pPr>
        <w:pStyle w:val="ListNumber"/>
        <w:numPr>
          <w:numId w:val="12"/>
        </w:numPr>
        <w:spacing w:after="40"/>
      </w:pPr>
      <w:r>
        <w:rPr>
          <w:rFonts w:ascii="Prompt" w:hAnsi="Prompt" w:eastAsia="Prompt" w:cs="Prompt"/>
          <w:color w:val="1C2730"/>
          <w:sz w:val="18"/>
        </w:rPr>
        <w:t>Approved CR.</w:t>
      </w:r>
    </w:p>
    <w:p>
      <w:pPr>
        <w:pStyle w:val="ListNumber"/>
        <w:numPr>
          <w:numId w:val="12"/>
        </w:numPr>
        <w:spacing w:after="40"/>
      </w:pPr>
      <w:r>
        <w:rPr>
          <w:rFonts w:ascii="Prompt" w:hAnsi="Prompt" w:eastAsia="Prompt" w:cs="Prompt"/>
          <w:color w:val="1C2730"/>
          <w:sz w:val="18"/>
        </w:rPr>
        <w:t>Version/tag/release notes finalized.</w:t>
      </w:r>
    </w:p>
    <w:p>
      <w:pPr>
        <w:pStyle w:val="ListNumber"/>
        <w:numPr>
          <w:numId w:val="12"/>
        </w:numPr>
        <w:spacing w:after="40"/>
      </w:pPr>
      <w:r>
        <w:rPr>
          <w:rFonts w:ascii="Prompt" w:hAnsi="Prompt" w:eastAsia="Prompt" w:cs="Prompt"/>
          <w:color w:val="1C2730"/>
          <w:sz w:val="18"/>
        </w:rPr>
        <w:t>Backup/recovery checkpoint.</w:t>
      </w:r>
    </w:p>
    <w:p>
      <w:pPr>
        <w:pStyle w:val="ListNumber"/>
        <w:numPr>
          <w:numId w:val="12"/>
        </w:numPr>
        <w:spacing w:after="40"/>
      </w:pPr>
      <w:r>
        <w:rPr>
          <w:rFonts w:ascii="Prompt" w:hAnsi="Prompt" w:eastAsia="Prompt" w:cs="Prompt"/>
          <w:color w:val="1C2730"/>
          <w:sz w:val="18"/>
        </w:rPr>
        <w:t>Migration reviewed/dry-run.</w:t>
      </w:r>
    </w:p>
    <w:p>
      <w:pPr>
        <w:pStyle w:val="ListNumber"/>
        <w:numPr>
          <w:numId w:val="12"/>
        </w:numPr>
        <w:spacing w:after="40"/>
      </w:pPr>
      <w:r>
        <w:rPr>
          <w:rFonts w:ascii="Prompt" w:hAnsi="Prompt" w:eastAsia="Prompt" w:cs="Prompt"/>
          <w:color w:val="1C2730"/>
          <w:sz w:val="18"/>
        </w:rPr>
        <w:t>CI checks pass.</w:t>
      </w:r>
    </w:p>
    <w:p>
      <w:pPr>
        <w:pStyle w:val="ListNumber"/>
        <w:numPr>
          <w:numId w:val="12"/>
        </w:numPr>
        <w:spacing w:after="40"/>
      </w:pPr>
      <w:r>
        <w:rPr>
          <w:rFonts w:ascii="Prompt" w:hAnsi="Prompt" w:eastAsia="Prompt" w:cs="Prompt"/>
          <w:color w:val="1C2730"/>
          <w:sz w:val="18"/>
        </w:rPr>
        <w:t>Deploy artifact.</w:t>
      </w:r>
    </w:p>
    <w:p>
      <w:pPr>
        <w:pStyle w:val="ListNumber"/>
        <w:numPr>
          <w:numId w:val="12"/>
        </w:numPr>
        <w:spacing w:after="40"/>
      </w:pPr>
      <w:r>
        <w:rPr>
          <w:rFonts w:ascii="Prompt" w:hAnsi="Prompt" w:eastAsia="Prompt" w:cs="Prompt"/>
          <w:color w:val="1C2730"/>
          <w:sz w:val="18"/>
        </w:rPr>
        <w:t>Health/critical smoke tests.</w:t>
      </w:r>
    </w:p>
    <w:p>
      <w:pPr>
        <w:pStyle w:val="ListNumber"/>
        <w:numPr>
          <w:numId w:val="12"/>
        </w:numPr>
        <w:spacing w:after="40"/>
      </w:pPr>
      <w:r>
        <w:rPr>
          <w:rFonts w:ascii="Prompt" w:hAnsi="Prompt" w:eastAsia="Prompt" w:cs="Prompt"/>
          <w:color w:val="1C2730"/>
          <w:sz w:val="18"/>
        </w:rPr>
        <w:t>Monitor release window.</w:t>
      </w:r>
    </w:p>
    <w:p>
      <w:pPr>
        <w:pStyle w:val="ListNumber"/>
        <w:numPr>
          <w:numId w:val="12"/>
        </w:numPr>
        <w:spacing w:after="40"/>
      </w:pPr>
      <w:r>
        <w:rPr>
          <w:rFonts w:ascii="Prompt" w:hAnsi="Prompt" w:eastAsia="Prompt" w:cs="Prompt"/>
          <w:color w:val="1C2730"/>
          <w:sz w:val="18"/>
        </w:rPr>
        <w:t>Reconcile integration.</w:t>
      </w:r>
    </w:p>
    <w:p>
      <w:pPr>
        <w:pStyle w:val="ListNumber"/>
        <w:numPr>
          <w:numId w:val="12"/>
        </w:numPr>
        <w:spacing w:after="40"/>
      </w:pPr>
      <w:r>
        <w:rPr>
          <w:rFonts w:ascii="Prompt" w:hAnsi="Prompt" w:eastAsia="Prompt" w:cs="Prompt"/>
          <w:color w:val="1C2730"/>
          <w:sz w:val="18"/>
        </w:rPr>
        <w:t>Close or rollback/forward-fix.</w:t>
      </w:r>
    </w:p>
    <w:p>
      <w:pPr>
        <w:pStyle w:val="Heading3"/>
        <w:keepNext/>
      </w:pPr>
      <w:r>
        <w:rPr>
          <w:rFonts w:ascii="Kanit" w:hAnsi="Kanit" w:eastAsia="Kanit" w:cs="Kanit"/>
          <w:b/>
          <w:color w:val="2B8C82"/>
          <w:sz w:val="23"/>
        </w:rPr>
        <w:t>Container rules</w:t>
      </w:r>
    </w:p>
    <w:p>
      <w:pPr>
        <w:pStyle w:val="ListBullet"/>
        <w:spacing w:after="40"/>
      </w:pPr>
      <w:r>
        <w:rPr>
          <w:rFonts w:ascii="Prompt" w:hAnsi="Prompt" w:eastAsia="Prompt" w:cs="Prompt"/>
          <w:color w:val="1C2730"/>
          <w:sz w:val="18"/>
        </w:rPr>
        <w:t>pinned/supported base image</w:t>
      </w:r>
    </w:p>
    <w:p>
      <w:pPr>
        <w:pStyle w:val="ListBullet"/>
        <w:spacing w:after="40"/>
      </w:pPr>
      <w:r>
        <w:rPr>
          <w:rFonts w:ascii="Prompt" w:hAnsi="Prompt" w:eastAsia="Prompt" w:cs="Prompt"/>
          <w:color w:val="1C2730"/>
          <w:sz w:val="18"/>
        </w:rPr>
        <w:t>no secrets baked into image</w:t>
      </w:r>
    </w:p>
    <w:p>
      <w:pPr>
        <w:pStyle w:val="ListBullet"/>
        <w:spacing w:after="40"/>
      </w:pPr>
      <w:r>
        <w:rPr>
          <w:rFonts w:ascii="Prompt" w:hAnsi="Prompt" w:eastAsia="Prompt" w:cs="Prompt"/>
          <w:color w:val="1C2730"/>
          <w:sz w:val="18"/>
        </w:rPr>
        <w:t>non-root process where possible</w:t>
      </w:r>
    </w:p>
    <w:p>
      <w:pPr>
        <w:pStyle w:val="ListBullet"/>
        <w:spacing w:after="40"/>
      </w:pPr>
      <w:r>
        <w:rPr>
          <w:rFonts w:ascii="Prompt" w:hAnsi="Prompt" w:eastAsia="Prompt" w:cs="Prompt"/>
          <w:color w:val="1C2730"/>
          <w:sz w:val="18"/>
        </w:rPr>
        <w:t>health checks inspect app/dependencies but expose no secret</w:t>
      </w:r>
    </w:p>
    <w:p>
      <w:pPr>
        <w:pStyle w:val="ListBullet"/>
        <w:spacing w:after="40"/>
      </w:pPr>
      <w:r>
        <w:rPr>
          <w:rFonts w:ascii="Prompt" w:hAnsi="Prompt" w:eastAsia="Prompt" w:cs="Prompt"/>
          <w:color w:val="1C2730"/>
          <w:sz w:val="18"/>
        </w:rPr>
        <w:t>frontend runtime configuration strategy documented</w:t>
      </w:r>
    </w:p>
    <w:p>
      <w:pPr>
        <w:pStyle w:val="ListBullet"/>
        <w:spacing w:after="40"/>
      </w:pPr>
      <w:r>
        <w:rPr>
          <w:rFonts w:ascii="Prompt" w:hAnsi="Prompt" w:eastAsia="Prompt" w:cs="Prompt"/>
          <w:color w:val="1C2730"/>
          <w:sz w:val="18"/>
        </w:rPr>
        <w:t>retain deploy log, artifact digest and config version</w:t>
      </w:r>
    </w:p>
    <w:p>
      <w:pPr>
        <w:pStyle w:val="Heading3"/>
        <w:keepNext/>
      </w:pPr>
      <w:r>
        <w:rPr>
          <w:rFonts w:ascii="Kanit" w:hAnsi="Kanit" w:eastAsia="Kanit" w:cs="Kanit"/>
          <w:b/>
          <w:color w:val="2B8C82"/>
          <w:sz w:val="23"/>
        </w:rPr>
        <w:t>Migration controls</w:t>
      </w:r>
    </w:p>
    <w:p>
      <w:pPr>
        <w:pStyle w:val="ListBullet"/>
        <w:spacing w:after="40"/>
      </w:pPr>
      <w:r>
        <w:rPr>
          <w:rFonts w:ascii="Prompt" w:hAnsi="Prompt" w:eastAsia="Prompt" w:cs="Prompt"/>
          <w:color w:val="1C2730"/>
          <w:sz w:val="18"/>
        </w:rPr>
        <w:t>migration ledger with ID/checksum</w:t>
      </w:r>
    </w:p>
    <w:p>
      <w:pPr>
        <w:pStyle w:val="ListBullet"/>
        <w:spacing w:after="40"/>
      </w:pPr>
      <w:r>
        <w:rPr>
          <w:rFonts w:ascii="Prompt" w:hAnsi="Prompt" w:eastAsia="Prompt" w:cs="Prompt"/>
          <w:color w:val="1C2730"/>
          <w:sz w:val="18"/>
        </w:rPr>
        <w:t>idempotent only by explicit design</w:t>
      </w:r>
    </w:p>
    <w:p>
      <w:pPr>
        <w:pStyle w:val="ListBullet"/>
        <w:spacing w:after="40"/>
      </w:pPr>
      <w:r>
        <w:rPr>
          <w:rFonts w:ascii="Prompt" w:hAnsi="Prompt" w:eastAsia="Prompt" w:cs="Prompt"/>
          <w:color w:val="1C2730"/>
          <w:sz w:val="18"/>
        </w:rPr>
        <w:t>production migration uses controlled wf_owner</w:t>
      </w:r>
    </w:p>
    <w:p>
      <w:pPr>
        <w:pStyle w:val="ListBullet"/>
        <w:spacing w:after="40"/>
      </w:pPr>
      <w:r>
        <w:rPr>
          <w:rFonts w:ascii="Prompt" w:hAnsi="Prompt" w:eastAsia="Prompt" w:cs="Prompt"/>
          <w:color w:val="1C2730"/>
          <w:sz w:val="18"/>
        </w:rPr>
        <w:t>external/dbo touch references ADR-003 and approval</w:t>
      </w:r>
    </w:p>
    <w:p>
      <w:pPr>
        <w:pStyle w:val="Heading3"/>
        <w:keepNext/>
      </w:pPr>
      <w:r>
        <w:rPr>
          <w:rFonts w:ascii="Kanit" w:hAnsi="Kanit" w:eastAsia="Kanit" w:cs="Kanit"/>
          <w:b/>
          <w:color w:val="2B8C82"/>
          <w:sz w:val="23"/>
        </w:rPr>
        <w:t>Rollback</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4190"/>
        <w:gridCol w:w="5449"/>
      </w:tblGrid>
      <w:tr>
        <w:trPr>
          <w:tblHeader w:val="true"/>
          <w:cantSplit/>
        </w:trPr>
        <w:tc>
          <w:tcPr>
            <w:tcW w:type="dxa" w:w="419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Change</w:t>
            </w:r>
          </w:p>
        </w:tc>
        <w:tc>
          <w:tcPr>
            <w:tcW w:type="dxa" w:w="544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Strategy</w:t>
            </w:r>
          </w:p>
        </w:tc>
      </w:tr>
      <w:tr>
        <w:trPr>
          <w:cantSplit/>
        </w:trPr>
        <w:tc>
          <w:tcPr>
            <w:tcW w:type="dxa" w:w="419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stateless frontend/backend</w:t>
            </w:r>
          </w:p>
        </w:tc>
        <w:tc>
          <w:tcPr>
            <w:tcW w:type="dxa" w:w="544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redeploy previous artifact</w:t>
            </w:r>
          </w:p>
        </w:tc>
      </w:tr>
      <w:tr>
        <w:trPr>
          <w:cantSplit/>
        </w:trPr>
        <w:tc>
          <w:tcPr>
            <w:tcW w:type="dxa" w:w="419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additive wf schema</w:t>
            </w:r>
          </w:p>
        </w:tc>
        <w:tc>
          <w:tcPr>
            <w:tcW w:type="dxa" w:w="544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 rollback usually safe</w:t>
            </w:r>
          </w:p>
        </w:tc>
      </w:tr>
      <w:tr>
        <w:trPr>
          <w:cantSplit/>
        </w:trPr>
        <w:tc>
          <w:tcPr>
            <w:tcW w:type="dxa" w:w="419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destructive transform</w:t>
            </w:r>
          </w:p>
        </w:tc>
        <w:tc>
          <w:tcPr>
            <w:tcW w:type="dxa" w:w="544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backup + tested rollback or forward-fix</w:t>
            </w:r>
          </w:p>
        </w:tc>
      </w:tr>
      <w:tr>
        <w:trPr>
          <w:cantSplit/>
        </w:trPr>
        <w:tc>
          <w:tcPr>
            <w:tcW w:type="dxa" w:w="419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external WINSpeed action</w:t>
            </w:r>
          </w:p>
        </w:tc>
        <w:tc>
          <w:tcPr>
            <w:tcW w:type="dxa" w:w="544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compensation/reconciliation only</w:t>
            </w:r>
          </w:p>
        </w:tc>
      </w:tr>
      <w:tr>
        <w:trPr>
          <w:cantSplit/>
        </w:trPr>
        <w:tc>
          <w:tcPr>
            <w:tcW w:type="dxa" w:w="419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data migration</w:t>
            </w:r>
          </w:p>
        </w:tc>
        <w:tc>
          <w:tcPr>
            <w:tcW w:type="dxa" w:w="544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reconciliation/corrective migration</w:t>
            </w:r>
          </w:p>
        </w:tc>
      </w:tr>
    </w:tbl>
    <w:p>
      <w:r>
        <w:br w:type="page"/>
      </w:r>
    </w:p>
    <w:p>
      <w:pPr>
        <w:pStyle w:val="Heading1"/>
        <w:keepNext/>
      </w:pPr>
      <w:r>
        <w:rPr>
          <w:rFonts w:ascii="Kanit" w:hAnsi="Kanit" w:eastAsia="Kanit" w:cs="Kanit"/>
          <w:b/>
          <w:color w:val="15334A"/>
          <w:sz w:val="34"/>
        </w:rPr>
        <w:t>Observability, Alerting and Incident Runbook</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docs/enterprise/05-SECURITY-DEVOPS/OBSERVABILITY-INCIDENT-RUNBOOK.md · SHA-256 032D5F4FED36D6E8929FA6E7D23C87C03D8DC128461C88E5548E4F0DD5A335B9 · merged as Review content</w:t>
            </w:r>
          </w:p>
        </w:tc>
      </w:tr>
    </w:tbl>
    <w:p>
      <w:pPr>
        <w:spacing w:after="0" w:line="96" w:lineRule="auto"/>
      </w:pPr>
    </w:p>
    <w:p>
      <w:pPr>
        <w:pStyle w:val="Heading3"/>
        <w:keepNext/>
      </w:pPr>
      <w:r>
        <w:rPr>
          <w:rFonts w:ascii="Kanit" w:hAnsi="Kanit" w:eastAsia="Kanit" w:cs="Kanit"/>
          <w:b/>
          <w:color w:val="2B8C82"/>
          <w:sz w:val="23"/>
        </w:rPr>
        <w:t>Required telemetry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659"/>
        <w:gridCol w:w="6980"/>
      </w:tblGrid>
      <w:tr>
        <w:trPr>
          <w:tblHeader w:val="true"/>
          <w:cantSplit/>
        </w:trPr>
        <w:tc>
          <w:tcPr>
            <w:tcW w:type="dxa" w:w="265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Signal</w:t>
            </w:r>
          </w:p>
        </w:tc>
        <w:tc>
          <w:tcPr>
            <w:tcW w:type="dxa" w:w="698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Required fields</w:t>
            </w:r>
          </w:p>
        </w:tc>
      </w:tr>
      <w:tr>
        <w:trPr>
          <w:cantSplit/>
        </w:trPr>
        <w:tc>
          <w:tcPr>
            <w:tcW w:type="dxa" w:w="265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Application log</w:t>
            </w:r>
          </w:p>
        </w:tc>
        <w:tc>
          <w:tcPr>
            <w:tcW w:type="dxa" w:w="698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time, level, correlation, actor/role pseudonym, endpoint, duration, outcome</w:t>
            </w:r>
          </w:p>
        </w:tc>
      </w:tr>
      <w:tr>
        <w:trPr>
          <w:cantSplit/>
        </w:trPr>
        <w:tc>
          <w:tcPr>
            <w:tcW w:type="dxa" w:w="265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Business audit</w:t>
            </w:r>
          </w:p>
        </w:tc>
        <w:tc>
          <w:tcPr>
            <w:tcW w:type="dxa" w:w="698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actor, action, entity, before/after pointer, IP/device, time</w:t>
            </w:r>
          </w:p>
        </w:tc>
      </w:tr>
      <w:tr>
        <w:trPr>
          <w:cantSplit/>
        </w:trPr>
        <w:tc>
          <w:tcPr>
            <w:tcW w:type="dxa" w:w="265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Integration event</w:t>
            </w:r>
          </w:p>
        </w:tc>
        <w:tc>
          <w:tcPr>
            <w:tcW w:type="dxa" w:w="698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dependency, operation, idempotency, retry, external ref, outcome</w:t>
            </w:r>
          </w:p>
        </w:tc>
      </w:tr>
      <w:tr>
        <w:trPr>
          <w:cantSplit/>
        </w:trPr>
        <w:tc>
          <w:tcPr>
            <w:tcW w:type="dxa" w:w="265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Metric</w:t>
            </w:r>
          </w:p>
        </w:tc>
        <w:tc>
          <w:tcPr>
            <w:tcW w:type="dxa" w:w="698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request/latency/error/queue/dependency health</w:t>
            </w:r>
          </w:p>
        </w:tc>
      </w:tr>
      <w:tr>
        <w:trPr>
          <w:cantSplit/>
        </w:trPr>
        <w:tc>
          <w:tcPr>
            <w:tcW w:type="dxa" w:w="265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Release</w:t>
            </w:r>
          </w:p>
        </w:tc>
        <w:tc>
          <w:tcPr>
            <w:tcW w:type="dxa" w:w="698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version, build digest, migration set, deploy actor/time</w:t>
            </w:r>
          </w:p>
        </w:tc>
      </w:tr>
      <w:tr>
        <w:trPr>
          <w:cantSplit/>
        </w:trPr>
        <w:tc>
          <w:tcPr>
            <w:tcW w:type="dxa" w:w="2659"/>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Security</w:t>
            </w:r>
          </w:p>
        </w:tc>
        <w:tc>
          <w:tcPr>
            <w:tcW w:type="dxa" w:w="698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auth result, privilege change, denied action</w:t>
            </w:r>
          </w:p>
        </w:tc>
      </w:tr>
    </w:tbl>
    <w:p>
      <w:pPr>
        <w:pStyle w:val="Heading3"/>
        <w:keepNext/>
      </w:pPr>
      <w:r>
        <w:rPr>
          <w:rFonts w:ascii="Kanit" w:hAnsi="Kanit" w:eastAsia="Kanit" w:cs="Kanit"/>
          <w:b/>
          <w:color w:val="2B8C82"/>
          <w:sz w:val="23"/>
        </w:rPr>
        <w:t>Dashboard minimum</w:t>
      </w:r>
    </w:p>
    <w:p>
      <w:pPr>
        <w:pStyle w:val="ListBullet"/>
        <w:spacing w:after="40"/>
      </w:pPr>
      <w:r>
        <w:rPr>
          <w:rFonts w:ascii="Prompt" w:hAnsi="Prompt" w:eastAsia="Prompt" w:cs="Prompt"/>
          <w:color w:val="1C2730"/>
          <w:sz w:val="18"/>
        </w:rPr>
        <w:t>API health/latency/error rate</w:t>
      </w:r>
    </w:p>
    <w:p>
      <w:pPr>
        <w:pStyle w:val="ListBullet"/>
        <w:spacing w:after="40"/>
      </w:pPr>
      <w:r>
        <w:rPr>
          <w:rFonts w:ascii="Prompt" w:hAnsi="Prompt" w:eastAsia="Prompt" w:cs="Prompt"/>
          <w:color w:val="1C2730"/>
          <w:sz w:val="18"/>
        </w:rPr>
        <w:t>SQL and TruckScale state</w:t>
      </w:r>
    </w:p>
    <w:p>
      <w:pPr>
        <w:pStyle w:val="ListBullet"/>
        <w:spacing w:after="40"/>
      </w:pPr>
      <w:r>
        <w:rPr>
          <w:rFonts w:ascii="Prompt" w:hAnsi="Prompt" w:eastAsia="Prompt" w:cs="Prompt"/>
          <w:color w:val="1C2730"/>
          <w:sz w:val="18"/>
        </w:rPr>
        <w:t>integration/reconciliation exception backlog</w:t>
      </w:r>
    </w:p>
    <w:p>
      <w:pPr>
        <w:pStyle w:val="ListBullet"/>
        <w:spacing w:after="40"/>
      </w:pPr>
      <w:r>
        <w:rPr>
          <w:rFonts w:ascii="Prompt" w:hAnsi="Prompt" w:eastAsia="Prompt" w:cs="Prompt"/>
          <w:color w:val="1C2730"/>
          <w:sz w:val="18"/>
        </w:rPr>
        <w:t>critical workflow counts</w:t>
      </w:r>
    </w:p>
    <w:p>
      <w:pPr>
        <w:pStyle w:val="ListBullet"/>
        <w:spacing w:after="40"/>
      </w:pPr>
      <w:r>
        <w:rPr>
          <w:rFonts w:ascii="Prompt" w:hAnsi="Prompt" w:eastAsia="Prompt" w:cs="Prompt"/>
          <w:color w:val="1C2730"/>
          <w:sz w:val="18"/>
        </w:rPr>
        <w:t>Paper Trail aging/lost</w:t>
      </w:r>
    </w:p>
    <w:p>
      <w:pPr>
        <w:pStyle w:val="ListBullet"/>
        <w:spacing w:after="40"/>
      </w:pPr>
      <w:r>
        <w:rPr>
          <w:rFonts w:ascii="Prompt" w:hAnsi="Prompt" w:eastAsia="Prompt" w:cs="Prompt"/>
          <w:color w:val="1C2730"/>
          <w:sz w:val="18"/>
        </w:rPr>
        <w:t>backup age/last restore test</w:t>
      </w:r>
    </w:p>
    <w:p>
      <w:pPr>
        <w:pStyle w:val="ListBullet"/>
        <w:spacing w:after="40"/>
      </w:pPr>
      <w:r>
        <w:rPr>
          <w:rFonts w:ascii="Prompt" w:hAnsi="Prompt" w:eastAsia="Prompt" w:cs="Prompt"/>
          <w:color w:val="1C2730"/>
          <w:sz w:val="18"/>
        </w:rPr>
        <w:t>current application/release version</w:t>
      </w:r>
    </w:p>
    <w:p>
      <w:pPr>
        <w:pStyle w:val="Heading3"/>
        <w:keepNext/>
      </w:pPr>
      <w:r>
        <w:rPr>
          <w:rFonts w:ascii="Kanit" w:hAnsi="Kanit" w:eastAsia="Kanit" w:cs="Kanit"/>
          <w:b/>
          <w:color w:val="2B8C82"/>
          <w:sz w:val="23"/>
        </w:rPr>
        <w:t>Severity</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797"/>
        <w:gridCol w:w="4020"/>
        <w:gridCol w:w="3822"/>
      </w:tblGrid>
      <w:tr>
        <w:trPr>
          <w:tblHeader w:val="true"/>
          <w:cantSplit/>
        </w:trPr>
        <w:tc>
          <w:tcPr>
            <w:tcW w:type="dxa" w:w="179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Severity</w:t>
            </w:r>
          </w:p>
        </w:tc>
        <w:tc>
          <w:tcPr>
            <w:tcW w:type="dxa" w:w="402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Example</w:t>
            </w:r>
          </w:p>
        </w:tc>
        <w:tc>
          <w:tcPr>
            <w:tcW w:type="dxa" w:w="382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Response</w:t>
            </w:r>
          </w:p>
        </w:tc>
      </w:tr>
      <w:tr>
        <w:trPr>
          <w:cantSplit/>
        </w:trPr>
        <w:tc>
          <w:tcPr>
            <w:tcW w:type="dxa" w:w="179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SEV-1</w:t>
            </w:r>
          </w:p>
        </w:tc>
        <w:tc>
          <w:tcPr>
            <w:tcW w:type="dxa" w:w="40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breach, financial corruption, full outage</w:t>
            </w:r>
          </w:p>
        </w:tc>
        <w:tc>
          <w:tcPr>
            <w:tcW w:type="dxa" w:w="382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immediate containment/executive notify</w:t>
            </w:r>
          </w:p>
        </w:tc>
      </w:tr>
      <w:tr>
        <w:trPr>
          <w:cantSplit/>
        </w:trPr>
        <w:tc>
          <w:tcPr>
            <w:tcW w:type="dxa" w:w="179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SEV-2</w:t>
            </w:r>
          </w:p>
        </w:tc>
        <w:tc>
          <w:tcPr>
            <w:tcW w:type="dxa" w:w="402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ship/confirm unavailable/no safe fallback</w:t>
            </w:r>
          </w:p>
        </w:tc>
        <w:tc>
          <w:tcPr>
            <w:tcW w:type="dxa" w:w="382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critical business response</w:t>
            </w:r>
          </w:p>
        </w:tc>
      </w:tr>
      <w:tr>
        <w:trPr>
          <w:cantSplit/>
        </w:trPr>
        <w:tc>
          <w:tcPr>
            <w:tcW w:type="dxa" w:w="179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SEV-3</w:t>
            </w:r>
          </w:p>
        </w:tc>
        <w:tc>
          <w:tcPr>
            <w:tcW w:type="dxa" w:w="40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report slow/non-critical degraded</w:t>
            </w:r>
          </w:p>
        </w:tc>
        <w:tc>
          <w:tcPr>
            <w:tcW w:type="dxa" w:w="382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planned fix</w:t>
            </w:r>
          </w:p>
        </w:tc>
      </w:tr>
      <w:tr>
        <w:trPr>
          <w:cantSplit/>
        </w:trPr>
        <w:tc>
          <w:tcPr>
            <w:tcW w:type="dxa" w:w="1797"/>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SEV-4</w:t>
            </w:r>
          </w:p>
        </w:tc>
        <w:tc>
          <w:tcPr>
            <w:tcW w:type="dxa" w:w="402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cosmetic/minor</w:t>
            </w:r>
          </w:p>
        </w:tc>
        <w:tc>
          <w:tcPr>
            <w:tcW w:type="dxa" w:w="382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backlog</w:t>
            </w:r>
          </w:p>
        </w:tc>
      </w:tr>
    </w:tbl>
    <w:p>
      <w:pPr>
        <w:pStyle w:val="Heading3"/>
        <w:keepNext/>
      </w:pPr>
      <w:r>
        <w:rPr>
          <w:rFonts w:ascii="Kanit" w:hAnsi="Kanit" w:eastAsia="Kanit" w:cs="Kanit"/>
          <w:b/>
          <w:color w:val="2B8C82"/>
          <w:sz w:val="23"/>
        </w:rPr>
        <w:t>Runbook A — SQL/wf unavailable</w:t>
      </w:r>
    </w:p>
    <w:p>
      <w:pPr>
        <w:pStyle w:val="ListNumber"/>
        <w:numPr>
          <w:numId w:val="13"/>
        </w:numPr>
        <w:spacing w:after="40"/>
      </w:pPr>
      <w:r>
        <w:rPr>
          <w:rFonts w:ascii="Prompt" w:hAnsi="Prompt" w:eastAsia="Prompt" w:cs="Prompt"/>
          <w:color w:val="1C2730"/>
          <w:sz w:val="18"/>
        </w:rPr>
        <w:t>Check health/connectivity.</w:t>
      </w:r>
    </w:p>
    <w:p>
      <w:pPr>
        <w:pStyle w:val="ListNumber"/>
        <w:numPr>
          <w:numId w:val="13"/>
        </w:numPr>
        <w:spacing w:after="40"/>
      </w:pPr>
      <w:r>
        <w:rPr>
          <w:rFonts w:ascii="Prompt" w:hAnsi="Prompt" w:eastAsia="Prompt" w:cs="Prompt"/>
          <w:color w:val="1C2730"/>
          <w:sz w:val="18"/>
        </w:rPr>
        <w:t>Do not repeatedly retry high-risk writes.</w:t>
      </w:r>
    </w:p>
    <w:p>
      <w:pPr>
        <w:pStyle w:val="ListNumber"/>
        <w:numPr>
          <w:numId w:val="13"/>
        </w:numPr>
        <w:spacing w:after="40"/>
      </w:pPr>
      <w:r>
        <w:rPr>
          <w:rFonts w:ascii="Prompt" w:hAnsi="Prompt" w:eastAsia="Prompt" w:cs="Prompt"/>
          <w:color w:val="1C2730"/>
          <w:sz w:val="18"/>
        </w:rPr>
        <w:t>Declare degraded operation; use approved WINSpeed/manual fallback.</w:t>
      </w:r>
    </w:p>
    <w:p>
      <w:pPr>
        <w:pStyle w:val="ListNumber"/>
        <w:numPr>
          <w:numId w:val="13"/>
        </w:numPr>
        <w:spacing w:after="40"/>
      </w:pPr>
      <w:r>
        <w:rPr>
          <w:rFonts w:ascii="Prompt" w:hAnsi="Prompt" w:eastAsia="Prompt" w:cs="Prompt"/>
          <w:color w:val="1C2730"/>
          <w:sz w:val="18"/>
        </w:rPr>
        <w:t>Preserve correlation IDs.</w:t>
      </w:r>
    </w:p>
    <w:p>
      <w:pPr>
        <w:pStyle w:val="ListNumber"/>
        <w:numPr>
          <w:numId w:val="13"/>
        </w:numPr>
        <w:spacing w:after="40"/>
      </w:pPr>
      <w:r>
        <w:rPr>
          <w:rFonts w:ascii="Prompt" w:hAnsi="Prompt" w:eastAsia="Prompt" w:cs="Prompt"/>
          <w:color w:val="1C2730"/>
          <w:sz w:val="18"/>
        </w:rPr>
        <w:t>restore/failover per DR plan.</w:t>
      </w:r>
    </w:p>
    <w:p>
      <w:pPr>
        <w:pStyle w:val="ListNumber"/>
        <w:numPr>
          <w:numId w:val="13"/>
        </w:numPr>
        <w:spacing w:after="40"/>
      </w:pPr>
      <w:r>
        <w:rPr>
          <w:rFonts w:ascii="Prompt" w:hAnsi="Prompt" w:eastAsia="Prompt" w:cs="Prompt"/>
          <w:color w:val="1C2730"/>
          <w:sz w:val="18"/>
        </w:rPr>
        <w:t>reconcile partial actions before closure.</w:t>
      </w:r>
    </w:p>
    <w:p>
      <w:pPr>
        <w:pStyle w:val="Heading3"/>
        <w:keepNext/>
      </w:pPr>
      <w:r>
        <w:rPr>
          <w:rFonts w:ascii="Kanit" w:hAnsi="Kanit" w:eastAsia="Kanit" w:cs="Kanit"/>
          <w:b/>
          <w:color w:val="2B8C82"/>
          <w:sz w:val="23"/>
        </w:rPr>
        <w:t>Runbook B — TruckScale unavailable</w:t>
      </w:r>
    </w:p>
    <w:p>
      <w:pPr>
        <w:pStyle w:val="ListNumber"/>
        <w:numPr>
          <w:numId w:val="14"/>
        </w:numPr>
        <w:spacing w:after="40"/>
      </w:pPr>
      <w:r>
        <w:rPr>
          <w:rFonts w:ascii="Prompt" w:hAnsi="Prompt" w:eastAsia="Prompt" w:cs="Prompt"/>
          <w:color w:val="1C2730"/>
          <w:sz w:val="18"/>
        </w:rPr>
        <w:t>Verify network/read-only user/health.</w:t>
      </w:r>
    </w:p>
    <w:p>
      <w:pPr>
        <w:pStyle w:val="ListNumber"/>
        <w:numPr>
          <w:numId w:val="14"/>
        </w:numPr>
        <w:spacing w:after="40"/>
      </w:pPr>
      <w:r>
        <w:rPr>
          <w:rFonts w:ascii="Prompt" w:hAnsi="Prompt" w:eastAsia="Prompt" w:cs="Prompt"/>
          <w:color w:val="1C2730"/>
          <w:sz w:val="18"/>
        </w:rPr>
        <w:t>Never modify TruckScale.</w:t>
      </w:r>
    </w:p>
    <w:p>
      <w:pPr>
        <w:pStyle w:val="ListNumber"/>
        <w:numPr>
          <w:numId w:val="14"/>
        </w:numPr>
        <w:spacing w:after="40"/>
      </w:pPr>
      <w:r>
        <w:rPr>
          <w:rFonts w:ascii="Prompt" w:hAnsi="Prompt" w:eastAsia="Prompt" w:cs="Prompt"/>
          <w:color w:val="1C2730"/>
          <w:sz w:val="18"/>
        </w:rPr>
        <w:t>Use manual WeighTicket fallback only if authorized.</w:t>
      </w:r>
    </w:p>
    <w:p>
      <w:pPr>
        <w:pStyle w:val="ListNumber"/>
        <w:numPr>
          <w:numId w:val="14"/>
        </w:numPr>
        <w:spacing w:after="40"/>
      </w:pPr>
      <w:r>
        <w:rPr>
          <w:rFonts w:ascii="Prompt" w:hAnsi="Prompt" w:eastAsia="Prompt" w:cs="Prompt"/>
          <w:color w:val="1C2730"/>
          <w:sz w:val="18"/>
        </w:rPr>
        <w:t>Open reconciliation case for manual shipment.</w:t>
      </w:r>
    </w:p>
    <w:p>
      <w:pPr>
        <w:pStyle w:val="ListNumber"/>
        <w:numPr>
          <w:numId w:val="14"/>
        </w:numPr>
        <w:spacing w:after="40"/>
      </w:pPr>
      <w:r>
        <w:rPr>
          <w:rFonts w:ascii="Prompt" w:hAnsi="Prompt" w:eastAsia="Prompt" w:cs="Prompt"/>
          <w:color w:val="1C2730"/>
          <w:sz w:val="18"/>
        </w:rPr>
        <w:t>Backfill source ref after recovery.</w:t>
      </w:r>
    </w:p>
    <w:p>
      <w:pPr>
        <w:pStyle w:val="Heading3"/>
        <w:keepNext/>
      </w:pPr>
      <w:r>
        <w:rPr>
          <w:rFonts w:ascii="Kanit" w:hAnsi="Kanit" w:eastAsia="Kanit" w:cs="Kanit"/>
          <w:b/>
          <w:color w:val="2B8C82"/>
          <w:sz w:val="23"/>
        </w:rPr>
        <w:t>Runbook C — WINSpeed integration failure</w:t>
      </w:r>
    </w:p>
    <w:p>
      <w:pPr>
        <w:pStyle w:val="ListNumber"/>
        <w:numPr>
          <w:numId w:val="15"/>
        </w:numPr>
        <w:spacing w:after="40"/>
      </w:pPr>
      <w:r>
        <w:rPr>
          <w:rFonts w:ascii="Prompt" w:hAnsi="Prompt" w:eastAsia="Prompt" w:cs="Prompt"/>
          <w:color w:val="1C2730"/>
          <w:sz w:val="18"/>
        </w:rPr>
        <w:t>mark PENDING_RECONCILIATION</w:t>
      </w:r>
    </w:p>
    <w:p>
      <w:pPr>
        <w:pStyle w:val="ListNumber"/>
        <w:numPr>
          <w:numId w:val="15"/>
        </w:numPr>
        <w:spacing w:after="40"/>
      </w:pPr>
      <w:r>
        <w:rPr>
          <w:rFonts w:ascii="Prompt" w:hAnsi="Prompt" w:eastAsia="Prompt" w:cs="Prompt"/>
          <w:color w:val="1C2730"/>
          <w:sz w:val="18"/>
        </w:rPr>
        <w:t>check idempotency/external ref before retry</w:t>
      </w:r>
    </w:p>
    <w:p>
      <w:pPr>
        <w:pStyle w:val="ListNumber"/>
        <w:numPr>
          <w:numId w:val="15"/>
        </w:numPr>
        <w:spacing w:after="40"/>
      </w:pPr>
      <w:r>
        <w:rPr>
          <w:rFonts w:ascii="Prompt" w:hAnsi="Prompt" w:eastAsia="Prompt" w:cs="Prompt"/>
          <w:color w:val="1C2730"/>
          <w:sz w:val="18"/>
        </w:rPr>
        <w:t>do not issue duplicate import</w:t>
      </w:r>
    </w:p>
    <w:p>
      <w:pPr>
        <w:pStyle w:val="ListNumber"/>
        <w:numPr>
          <w:numId w:val="15"/>
        </w:numPr>
        <w:spacing w:after="40"/>
      </w:pPr>
      <w:r>
        <w:rPr>
          <w:rFonts w:ascii="Prompt" w:hAnsi="Prompt" w:eastAsia="Prompt" w:cs="Prompt"/>
          <w:color w:val="1C2730"/>
          <w:sz w:val="18"/>
        </w:rPr>
        <w:t>escalate DBA/Accounting</w:t>
      </w:r>
    </w:p>
    <w:p>
      <w:pPr>
        <w:pStyle w:val="ListNumber"/>
        <w:numPr>
          <w:numId w:val="15"/>
        </w:numPr>
        <w:spacing w:after="40"/>
      </w:pPr>
      <w:r>
        <w:rPr>
          <w:rFonts w:ascii="Prompt" w:hAnsi="Prompt" w:eastAsia="Prompt" w:cs="Prompt"/>
          <w:color w:val="1C2730"/>
          <w:sz w:val="18"/>
        </w:rPr>
        <w:t>reconcile/record resolution</w:t>
      </w:r>
    </w:p>
    <w:p>
      <w:pPr>
        <w:pStyle w:val="Heading3"/>
        <w:keepNext/>
      </w:pPr>
      <w:r>
        <w:rPr>
          <w:rFonts w:ascii="Kanit" w:hAnsi="Kanit" w:eastAsia="Kanit" w:cs="Kanit"/>
          <w:b/>
          <w:color w:val="2B8C82"/>
          <w:sz w:val="23"/>
        </w:rPr>
        <w:t>Runbook D — suspected credential leak</w:t>
      </w:r>
    </w:p>
    <w:p>
      <w:pPr>
        <w:pStyle w:val="ListNumber"/>
        <w:numPr>
          <w:numId w:val="16"/>
        </w:numPr>
        <w:spacing w:after="40"/>
      </w:pPr>
      <w:r>
        <w:rPr>
          <w:rFonts w:ascii="Prompt" w:hAnsi="Prompt" w:eastAsia="Prompt" w:cs="Prompt"/>
          <w:color w:val="1C2730"/>
          <w:sz w:val="18"/>
        </w:rPr>
        <w:t>revoke/disable</w:t>
      </w:r>
    </w:p>
    <w:p>
      <w:pPr>
        <w:pStyle w:val="ListNumber"/>
        <w:numPr>
          <w:numId w:val="16"/>
        </w:numPr>
        <w:spacing w:after="40"/>
      </w:pPr>
      <w:r>
        <w:rPr>
          <w:rFonts w:ascii="Prompt" w:hAnsi="Prompt" w:eastAsia="Prompt" w:cs="Prompt"/>
          <w:color w:val="1C2730"/>
          <w:sz w:val="18"/>
        </w:rPr>
        <w:t>rotate secret/update runtime</w:t>
      </w:r>
    </w:p>
    <w:p>
      <w:pPr>
        <w:pStyle w:val="ListNumber"/>
        <w:numPr>
          <w:numId w:val="16"/>
        </w:numPr>
        <w:spacing w:after="40"/>
      </w:pPr>
      <w:r>
        <w:rPr>
          <w:rFonts w:ascii="Prompt" w:hAnsi="Prompt" w:eastAsia="Prompt" w:cs="Prompt"/>
          <w:color w:val="1C2730"/>
          <w:sz w:val="18"/>
        </w:rPr>
        <w:t>redeploy/restart</w:t>
      </w:r>
    </w:p>
    <w:p>
      <w:pPr>
        <w:pStyle w:val="ListNumber"/>
        <w:numPr>
          <w:numId w:val="16"/>
        </w:numPr>
        <w:spacing w:after="40"/>
      </w:pPr>
      <w:r>
        <w:rPr>
          <w:rFonts w:ascii="Prompt" w:hAnsi="Prompt" w:eastAsia="Prompt" w:cs="Prompt"/>
          <w:color w:val="1C2730"/>
          <w:sz w:val="18"/>
        </w:rPr>
        <w:t>review access scope</w:t>
      </w:r>
    </w:p>
    <w:p>
      <w:pPr>
        <w:pStyle w:val="ListNumber"/>
        <w:numPr>
          <w:numId w:val="16"/>
        </w:numPr>
        <w:spacing w:after="40"/>
      </w:pPr>
      <w:r>
        <w:rPr>
          <w:rFonts w:ascii="Prompt" w:hAnsi="Prompt" w:eastAsia="Prompt" w:cs="Prompt"/>
          <w:color w:val="1C2730"/>
          <w:sz w:val="18"/>
        </w:rPr>
        <w:t>record incident without exposing new secret</w:t>
      </w:r>
    </w:p>
    <w:p>
      <w:r>
        <w:br w:type="page"/>
      </w:r>
    </w:p>
    <w:p>
      <w:pPr>
        <w:pStyle w:val="Heading1"/>
        <w:keepNext/>
      </w:pPr>
      <w:r>
        <w:rPr>
          <w:rFonts w:ascii="Kanit" w:hAnsi="Kanit" w:eastAsia="Kanit" w:cs="Kanit"/>
          <w:b/>
          <w:color w:val="15334A"/>
          <w:sz w:val="34"/>
        </w:rPr>
        <w:t>Performance Engineering and SQL Query Controls</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docs/enterprise/05-SECURITY-DEVOPS/PERFORMANCE-ENGINEERING.md · SHA-256 546887EAE5C0F4F9343797CC6E51D3EDE8BDFC2455A898F42E43ED5E962EC11C · merged as Review content</w:t>
            </w:r>
          </w:p>
        </w:tc>
      </w:tr>
    </w:tbl>
    <w:p>
      <w:pPr>
        <w:spacing w:after="0" w:line="96" w:lineRule="auto"/>
      </w:pPr>
    </w:p>
    <w:p>
      <w:pPr>
        <w:pStyle w:val="Heading3"/>
        <w:keepNext/>
      </w:pPr>
      <w:r>
        <w:rPr>
          <w:rFonts w:ascii="Kanit" w:hAnsi="Kanit" w:eastAsia="Kanit" w:cs="Kanit"/>
          <w:b/>
          <w:color w:val="2B8C82"/>
          <w:sz w:val="23"/>
        </w:rPr>
        <w:t>Principle</w:t>
      </w:r>
    </w:p>
    <w:p>
      <w:pPr>
        <w:spacing w:after="60"/>
      </w:pPr>
      <w:r>
        <w:rPr>
          <w:rFonts w:ascii="Prompt" w:hAnsi="Prompt" w:eastAsia="Prompt" w:cs="Prompt"/>
          <w:i w:val="0"/>
          <w:color w:val="1C2730"/>
          <w:sz w:val="18"/>
        </w:rPr>
        <w:t>Operational screens use purpose-built views/read models; they must not run unbounded scans across legacy history on every interaction.</w:t>
      </w:r>
    </w:p>
    <w:p>
      <w:pPr>
        <w:pStyle w:val="Heading3"/>
        <w:keepNext/>
      </w:pPr>
      <w:r>
        <w:rPr>
          <w:rFonts w:ascii="Kanit" w:hAnsi="Kanit" w:eastAsia="Kanit" w:cs="Kanit"/>
          <w:b/>
          <w:color w:val="2B8C82"/>
          <w:sz w:val="23"/>
        </w:rPr>
        <w:t>Risk patterns</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801"/>
        <w:gridCol w:w="2988"/>
        <w:gridCol w:w="3850"/>
      </w:tblGrid>
      <w:tr>
        <w:trPr>
          <w:tblHeader w:val="true"/>
          <w:cantSplit/>
        </w:trPr>
        <w:tc>
          <w:tcPr>
            <w:tcW w:type="dxa" w:w="280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Pattern</w:t>
            </w:r>
          </w:p>
        </w:tc>
        <w:tc>
          <w:tcPr>
            <w:tcW w:type="dxa" w:w="298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Risk</w:t>
            </w:r>
          </w:p>
        </w:tc>
        <w:tc>
          <w:tcPr>
            <w:tcW w:type="dxa" w:w="385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Control</w:t>
            </w:r>
          </w:p>
        </w:tc>
      </w:tr>
      <w:tr>
        <w:trPr>
          <w:cantSplit/>
        </w:trPr>
        <w:tc>
          <w:tcPr>
            <w:tcW w:type="dxa" w:w="28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correlated subquery</w:t>
            </w:r>
          </w:p>
        </w:tc>
        <w:tc>
          <w:tcPr>
            <w:tcW w:type="dxa" w:w="298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 query</w:t>
            </w:r>
          </w:p>
        </w:tc>
        <w:tc>
          <w:tcPr>
            <w:tcW w:type="dxa" w:w="385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pre-aggregate/join once</w:t>
            </w:r>
          </w:p>
        </w:tc>
      </w:tr>
      <w:tr>
        <w:trPr>
          <w:cantSplit/>
        </w:trPr>
        <w:tc>
          <w:tcPr>
            <w:tcW w:type="dxa" w:w="28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OR join path</w:t>
            </w:r>
          </w:p>
        </w:tc>
        <w:tc>
          <w:tcPr>
            <w:tcW w:type="dxa" w:w="298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poor index use</w:t>
            </w:r>
          </w:p>
        </w:tc>
        <w:tc>
          <w:tcPr>
            <w:tcW w:type="dxa" w:w="385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split/union/deduplicate</w:t>
            </w:r>
          </w:p>
        </w:tc>
      </w:tr>
      <w:tr>
        <w:trPr>
          <w:cantSplit/>
        </w:trPr>
        <w:tc>
          <w:tcPr>
            <w:tcW w:type="dxa" w:w="28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unbounded Kanban</w:t>
            </w:r>
          </w:p>
        </w:tc>
        <w:tc>
          <w:tcPr>
            <w:tcW w:type="dxa" w:w="298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memory/UI freeze</w:t>
            </w:r>
          </w:p>
        </w:tc>
        <w:tc>
          <w:tcPr>
            <w:tcW w:type="dxa" w:w="385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pagination/limit/virtualization</w:t>
            </w:r>
          </w:p>
        </w:tc>
      </w:tr>
      <w:tr>
        <w:trPr>
          <w:cantSplit/>
        </w:trPr>
        <w:tc>
          <w:tcPr>
            <w:tcW w:type="dxa" w:w="28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broad search</w:t>
            </w:r>
          </w:p>
        </w:tc>
        <w:tc>
          <w:tcPr>
            <w:tcW w:type="dxa" w:w="298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table scan</w:t>
            </w:r>
          </w:p>
        </w:tc>
        <w:tc>
          <w:tcPr>
            <w:tcW w:type="dxa" w:w="385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selective indexes/windows</w:t>
            </w:r>
          </w:p>
        </w:tc>
      </w:tr>
      <w:tr>
        <w:trPr>
          <w:cantSplit/>
        </w:trPr>
        <w:tc>
          <w:tcPr>
            <w:tcW w:type="dxa" w:w="28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cross-DB per row</w:t>
            </w:r>
          </w:p>
        </w:tc>
        <w:tc>
          <w:tcPr>
            <w:tcW w:type="dxa" w:w="298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network amplification</w:t>
            </w:r>
          </w:p>
        </w:tc>
        <w:tc>
          <w:tcPr>
            <w:tcW w:type="dxa" w:w="385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batch/candidate query</w:t>
            </w:r>
          </w:p>
        </w:tc>
      </w:tr>
      <w:tr>
        <w:trPr>
          <w:cantSplit/>
        </w:trPr>
        <w:tc>
          <w:tcPr>
            <w:tcW w:type="dxa" w:w="2801"/>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no timeout</w:t>
            </w:r>
          </w:p>
        </w:tc>
        <w:tc>
          <w:tcPr>
            <w:tcW w:type="dxa" w:w="298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starvation</w:t>
            </w:r>
          </w:p>
        </w:tc>
        <w:tc>
          <w:tcPr>
            <w:tcW w:type="dxa" w:w="3850"/>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timeout/circuit breaker</w:t>
            </w:r>
          </w:p>
        </w:tc>
      </w:tr>
    </w:tbl>
    <w:p>
      <w:pPr>
        <w:pStyle w:val="Heading3"/>
        <w:keepNext/>
      </w:pPr>
      <w:r>
        <w:rPr>
          <w:rFonts w:ascii="Kanit" w:hAnsi="Kanit" w:eastAsia="Kanit" w:cs="Kanit"/>
          <w:b/>
          <w:color w:val="2B8C82"/>
          <w:sz w:val="23"/>
        </w:rPr>
        <w:t>Required controls</w:t>
      </w:r>
    </w:p>
    <w:p>
      <w:pPr>
        <w:pStyle w:val="ListBullet"/>
        <w:spacing w:after="40"/>
      </w:pPr>
      <w:r>
        <w:rPr>
          <w:rFonts w:ascii="Prompt" w:hAnsi="Prompt" w:eastAsia="Prompt" w:cs="Prompt"/>
          <w:color w:val="1C2730"/>
          <w:sz w:val="18"/>
        </w:rPr>
        <w:t>indexes for high-volume document type/status/date/ticket/plate access</w:t>
      </w:r>
    </w:p>
    <w:p>
      <w:pPr>
        <w:pStyle w:val="ListBullet"/>
        <w:spacing w:after="40"/>
      </w:pPr>
      <w:r>
        <w:rPr>
          <w:rFonts w:ascii="Prompt" w:hAnsi="Prompt" w:eastAsia="Prompt" w:cs="Prompt"/>
          <w:color w:val="1C2730"/>
          <w:sz w:val="18"/>
        </w:rPr>
        <w:t>pagination/TOP for UI lists</w:t>
      </w:r>
    </w:p>
    <w:p>
      <w:pPr>
        <w:pStyle w:val="ListBullet"/>
        <w:spacing w:after="40"/>
      </w:pPr>
      <w:r>
        <w:rPr>
          <w:rFonts w:ascii="Prompt" w:hAnsi="Prompt" w:eastAsia="Prompt" w:cs="Prompt"/>
          <w:color w:val="1C2730"/>
          <w:sz w:val="18"/>
        </w:rPr>
        <w:t>export/report jobs separate from interactive paths</w:t>
      </w:r>
    </w:p>
    <w:p>
      <w:pPr>
        <w:pStyle w:val="ListBullet"/>
        <w:spacing w:after="40"/>
      </w:pPr>
      <w:r>
        <w:rPr>
          <w:rFonts w:ascii="Prompt" w:hAnsi="Prompt" w:eastAsia="Prompt" w:cs="Prompt"/>
          <w:color w:val="1C2730"/>
          <w:sz w:val="18"/>
        </w:rPr>
        <w:t>performance budget/plan review for historical query</w:t>
      </w:r>
    </w:p>
    <w:p>
      <w:pPr>
        <w:pStyle w:val="ListBullet"/>
        <w:spacing w:after="40"/>
      </w:pPr>
      <w:r>
        <w:rPr>
          <w:rFonts w:ascii="Prompt" w:hAnsi="Prompt" w:eastAsia="Prompt" w:cs="Prompt"/>
          <w:color w:val="1C2730"/>
          <w:sz w:val="18"/>
        </w:rPr>
        <w:t>parameterized SQL; use NOLOCK only under documented consistency decision</w:t>
      </w:r>
    </w:p>
    <w:p>
      <w:pPr>
        <w:pStyle w:val="ListBullet"/>
        <w:spacing w:after="40"/>
      </w:pPr>
      <w:r>
        <w:rPr>
          <w:rFonts w:ascii="Prompt" w:hAnsi="Prompt" w:eastAsia="Prompt" w:cs="Prompt"/>
          <w:color w:val="1C2730"/>
          <w:sz w:val="18"/>
        </w:rPr>
        <w:t>slow query telemetry with endpoint/correlation/database target</w:t>
      </w:r>
    </w:p>
    <w:p>
      <w:pPr>
        <w:pStyle w:val="Heading3"/>
        <w:keepNext/>
      </w:pPr>
      <w:r>
        <w:rPr>
          <w:rFonts w:ascii="Kanit" w:hAnsi="Kanit" w:eastAsia="Kanit" w:cs="Kanit"/>
          <w:b/>
          <w:color w:val="2B8C82"/>
          <w:sz w:val="23"/>
        </w:rPr>
        <w:t>Test scenarios</w:t>
      </w:r>
    </w:p>
    <w:p>
      <w:pPr>
        <w:pStyle w:val="ListNumber"/>
        <w:numPr>
          <w:numId w:val="17"/>
        </w:numPr>
        <w:spacing w:after="40"/>
      </w:pPr>
      <w:r>
        <w:rPr>
          <w:rFonts w:ascii="Prompt" w:hAnsi="Prompt" w:eastAsia="Prompt" w:cs="Prompt"/>
          <w:color w:val="1C2730"/>
          <w:sz w:val="18"/>
        </w:rPr>
        <w:t>control-ticket remaining at history scale</w:t>
      </w:r>
    </w:p>
    <w:p>
      <w:pPr>
        <w:pStyle w:val="ListNumber"/>
        <w:numPr>
          <w:numId w:val="17"/>
        </w:numPr>
        <w:spacing w:after="40"/>
      </w:pPr>
      <w:r>
        <w:rPr>
          <w:rFonts w:ascii="Prompt" w:hAnsi="Prompt" w:eastAsia="Prompt" w:cs="Prompt"/>
          <w:color w:val="1C2730"/>
          <w:sz w:val="18"/>
        </w:rPr>
        <w:t>Paper Trail board high volume</w:t>
      </w:r>
    </w:p>
    <w:p>
      <w:pPr>
        <w:pStyle w:val="ListNumber"/>
        <w:numPr>
          <w:numId w:val="17"/>
        </w:numPr>
        <w:spacing w:after="40"/>
      </w:pPr>
      <w:r>
        <w:rPr>
          <w:rFonts w:ascii="Prompt" w:hAnsi="Prompt" w:eastAsia="Prompt" w:cs="Prompt"/>
          <w:color w:val="1C2730"/>
          <w:sz w:val="18"/>
        </w:rPr>
        <w:t>Thai master lookup</w:t>
      </w:r>
    </w:p>
    <w:p>
      <w:pPr>
        <w:pStyle w:val="ListNumber"/>
        <w:numPr>
          <w:numId w:val="17"/>
        </w:numPr>
        <w:spacing w:after="40"/>
      </w:pPr>
      <w:r>
        <w:rPr>
          <w:rFonts w:ascii="Prompt" w:hAnsi="Prompt" w:eastAsia="Prompt" w:cs="Prompt"/>
          <w:color w:val="1C2730"/>
          <w:sz w:val="18"/>
        </w:rPr>
        <w:t>rebate ledger drill-down</w:t>
      </w:r>
    </w:p>
    <w:p>
      <w:pPr>
        <w:pStyle w:val="ListNumber"/>
        <w:numPr>
          <w:numId w:val="17"/>
        </w:numPr>
        <w:spacing w:after="40"/>
      </w:pPr>
      <w:r>
        <w:rPr>
          <w:rFonts w:ascii="Prompt" w:hAnsi="Prompt" w:eastAsia="Prompt" w:cs="Prompt"/>
          <w:color w:val="1C2730"/>
          <w:sz w:val="18"/>
        </w:rPr>
        <w:t>TruckScale plate lookup</w:t>
      </w:r>
    </w:p>
    <w:p>
      <w:pPr>
        <w:pStyle w:val="ListNumber"/>
        <w:numPr>
          <w:numId w:val="17"/>
        </w:numPr>
        <w:spacing w:after="40"/>
      </w:pPr>
      <w:r>
        <w:rPr>
          <w:rFonts w:ascii="Prompt" w:hAnsi="Prompt" w:eastAsia="Prompt" w:cs="Prompt"/>
          <w:color w:val="1C2730"/>
          <w:sz w:val="18"/>
        </w:rPr>
        <w:t>concurrent dashboard polling</w:t>
      </w:r>
    </w:p>
    <w:p>
      <w:pPr>
        <w:pStyle w:val="ListNumber"/>
        <w:numPr>
          <w:numId w:val="17"/>
        </w:numPr>
        <w:spacing w:after="40"/>
      </w:pPr>
      <w:r>
        <w:rPr>
          <w:rFonts w:ascii="Prompt" w:hAnsi="Prompt" w:eastAsia="Prompt" w:cs="Prompt"/>
          <w:color w:val="1C2730"/>
          <w:sz w:val="18"/>
        </w:rPr>
        <w:t>large report export</w:t>
      </w:r>
    </w:p>
    <w:p>
      <w:pPr>
        <w:pStyle w:val="Heading3"/>
        <w:keepNext/>
      </w:pPr>
      <w:r>
        <w:rPr>
          <w:rFonts w:ascii="Kanit" w:hAnsi="Kanit" w:eastAsia="Kanit" w:cs="Kanit"/>
          <w:b/>
          <w:color w:val="2B8C82"/>
          <w:sz w:val="23"/>
        </w:rPr>
        <w:t>Acceptance</w:t>
      </w:r>
    </w:p>
    <w:p>
      <w:pPr>
        <w:spacing w:after="60"/>
      </w:pPr>
      <w:r>
        <w:rPr>
          <w:rFonts w:ascii="Prompt" w:hAnsi="Prompt" w:eastAsia="Prompt" w:cs="Prompt"/>
          <w:i w:val="0"/>
          <w:color w:val="1C2730"/>
          <w:sz w:val="18"/>
        </w:rPr>
        <w:t>Optimization is accepted only after output reconciles with reference result, including duplicate/dedup semantics.</w:t>
      </w:r>
    </w:p>
    <w:p>
      <w:r>
        <w:br w:type="page"/>
      </w:r>
    </w:p>
    <w:p>
      <w:pPr>
        <w:pStyle w:val="Heading1"/>
        <w:keepNext/>
      </w:pPr>
      <w:r>
        <w:rPr>
          <w:rFonts w:ascii="Kanit" w:hAnsi="Kanit" w:eastAsia="Kanit" w:cs="Kanit"/>
          <w:b/>
          <w:color w:val="15334A"/>
          <w:sz w:val="34"/>
        </w:rPr>
        <w:t>Backup, Disaster Recovery and Business Continuity Plan</w:t>
      </w:r>
    </w:p>
    <w:tbl>
      <w:tblPr>
        <w:tblW w:type="auto" w:w="0"/>
        <w:jc w:val="center"/>
        <w:tblLayout w:type="fixed"/>
        <w:tblLook w:firstColumn="1" w:firstRow="1" w:lastColumn="0" w:lastRow="0" w:noHBand="0" w:noVBand="1" w:val="04A0"/>
        <w:tblBorders>
          <w:top w:val="single" w:sz="0" w:color="F4F8FA"/>
          <w:left w:val="single" w:sz="0" w:color="F4F8FA"/>
          <w:bottom w:val="single" w:sz="0" w:color="F4F8FA"/>
          <w:right w:val="single" w:sz="0" w:color="F4F8FA"/>
          <w:insideH w:val="single" w:sz="0" w:color="F4F8FA"/>
          <w:insideV w:val="single" w:sz="0" w:color="F4F8FA"/>
        </w:tblBorders>
      </w:tblPr>
      <w:tblGrid>
        <w:gridCol w:w="198"/>
        <w:gridCol w:w="9441"/>
      </w:tblGrid>
      <w:tr>
        <w:tc>
          <w:tcPr>
            <w:tcW w:type="dxa" w:w="198"/>
            <w:shd w:fill="2B8C82"/>
          </w:tcPr>
          <w:p>
            <w:r/>
          </w:p>
        </w:tc>
        <w:tc>
          <w:tcPr>
            <w:tcW w:type="dxa" w:w="9441"/>
            <w:shd w:fill="F4F8FA"/>
            <w:tcMar>
              <w:top w:w="120" w:type="dxa"/>
              <w:start w:w="140" w:type="dxa"/>
              <w:bottom w:w="120" w:type="dxa"/>
              <w:end w:w="140" w:type="dxa"/>
            </w:tcMar>
          </w:tcPr>
          <w:p>
            <w:pPr>
              <w:spacing w:after="0"/>
            </w:pPr>
            <w:r>
              <w:rPr>
                <w:rFonts w:ascii="Kanit" w:hAnsi="Kanit" w:eastAsia="Kanit" w:cs="Kanit"/>
                <w:b/>
                <w:color w:val="15334A"/>
                <w:sz w:val="19"/>
              </w:rPr>
              <w:t xml:space="preserve">Authoritative source  </w:t>
            </w:r>
            <w:r>
              <w:rPr>
                <w:rFonts w:ascii="Prompt" w:hAnsi="Prompt" w:eastAsia="Prompt" w:cs="Prompt"/>
                <w:b w:val="0"/>
                <w:color w:val="1C2730"/>
                <w:sz w:val="18"/>
              </w:rPr>
              <w:t>docs/enterprise/05-SECURITY-DEVOPS/BACKUP-DR-BCP.md · SHA-256 C91E44F28E1624746AC13041B00BFC4D34B6044588AAEFB925E11FAF9AE7912D · merged as Review content</w:t>
            </w:r>
          </w:p>
        </w:tc>
      </w:tr>
    </w:tbl>
    <w:p>
      <w:pPr>
        <w:spacing w:after="0" w:line="96" w:lineRule="auto"/>
      </w:pPr>
    </w:p>
    <w:p>
      <w:pPr>
        <w:pStyle w:val="Heading3"/>
        <w:keepNext/>
      </w:pPr>
      <w:r>
        <w:rPr>
          <w:rFonts w:ascii="Kanit" w:hAnsi="Kanit" w:eastAsia="Kanit" w:cs="Kanit"/>
          <w:b/>
          <w:color w:val="2B8C82"/>
          <w:sz w:val="23"/>
        </w:rPr>
        <w:t>Objectives</w:t>
      </w:r>
    </w:p>
    <w:p>
      <w:pPr>
        <w:pStyle w:val="ListBullet"/>
        <w:spacing w:after="40"/>
      </w:pPr>
      <w:r>
        <w:rPr>
          <w:rFonts w:ascii="Prompt" w:hAnsi="Prompt" w:eastAsia="Prompt" w:cs="Prompt"/>
          <w:color w:val="1C2730"/>
          <w:sz w:val="18"/>
        </w:rPr>
        <w:t>RTO &lt;4h for critical operational service</w:t>
      </w:r>
    </w:p>
    <w:p>
      <w:pPr>
        <w:pStyle w:val="ListBullet"/>
        <w:spacing w:after="40"/>
      </w:pPr>
      <w:r>
        <w:rPr>
          <w:rFonts w:ascii="Prompt" w:hAnsi="Prompt" w:eastAsia="Prompt" w:cs="Prompt"/>
          <w:color w:val="1C2730"/>
          <w:sz w:val="18"/>
        </w:rPr>
        <w:t>RPO &lt;1h for approved wf production data</w:t>
      </w:r>
    </w:p>
    <w:p>
      <w:pPr>
        <w:pStyle w:val="ListBullet"/>
        <w:spacing w:after="40"/>
      </w:pPr>
      <w:r>
        <w:rPr>
          <w:rFonts w:ascii="Prompt" w:hAnsi="Prompt" w:eastAsia="Prompt" w:cs="Prompt"/>
          <w:color w:val="1C2730"/>
          <w:sz w:val="18"/>
        </w:rPr>
        <w:t>WINSpeed/TruckScale source backup ownership jointly agreed with source owners</w:t>
      </w:r>
    </w:p>
    <w:p>
      <w:pPr>
        <w:pStyle w:val="Heading3"/>
        <w:keepNext/>
      </w:pPr>
      <w:r>
        <w:rPr>
          <w:rFonts w:ascii="Kanit" w:hAnsi="Kanit" w:eastAsia="Kanit" w:cs="Kanit"/>
          <w:b/>
          <w:color w:val="2B8C82"/>
          <w:sz w:val="23"/>
        </w:rPr>
        <w:t>Backup baseline</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820"/>
        <w:gridCol w:w="2778"/>
        <w:gridCol w:w="2058"/>
        <w:gridCol w:w="1157"/>
        <w:gridCol w:w="1820"/>
      </w:tblGrid>
      <w:tr>
        <w:trPr>
          <w:tblHeader w:val="true"/>
          <w:cantSplit/>
        </w:trPr>
        <w:tc>
          <w:tcPr>
            <w:tcW w:type="dxa" w:w="182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Source</w:t>
            </w:r>
          </w:p>
        </w:tc>
        <w:tc>
          <w:tcPr>
            <w:tcW w:type="dxa" w:w="277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Backup</w:t>
            </w:r>
          </w:p>
        </w:tc>
        <w:tc>
          <w:tcPr>
            <w:tcW w:type="dxa" w:w="205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Frequency</w:t>
            </w:r>
          </w:p>
        </w:tc>
        <w:tc>
          <w:tcPr>
            <w:tcW w:type="dxa" w:w="115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Owner</w:t>
            </w:r>
          </w:p>
        </w:tc>
        <w:tc>
          <w:tcPr>
            <w:tcW w:type="dxa" w:w="1820"/>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Validate</w:t>
            </w:r>
          </w:p>
        </w:tc>
      </w:tr>
      <w:tr>
        <w:trPr>
          <w:cantSplit/>
        </w:trPr>
        <w:tc>
          <w:tcPr>
            <w:tcW w:type="dxa" w:w="18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SQL Server WINSpeed + wf</w:t>
            </w:r>
          </w:p>
        </w:tc>
        <w:tc>
          <w:tcPr>
            <w:tcW w:type="dxa" w:w="27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full + log/differential</w:t>
            </w:r>
          </w:p>
        </w:tc>
        <w:tc>
          <w:tcPr>
            <w:tcW w:type="dxa" w:w="205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full daily; log/hourly target</w:t>
            </w:r>
          </w:p>
        </w:tc>
        <w:tc>
          <w:tcPr>
            <w:tcW w:type="dxa" w:w="115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DBA</w:t>
            </w:r>
          </w:p>
        </w:tc>
        <w:tc>
          <w:tcPr>
            <w:tcW w:type="dxa" w:w="18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restore quarterly</w:t>
            </w:r>
          </w:p>
        </w:tc>
      </w:tr>
      <w:tr>
        <w:trPr>
          <w:cantSplit/>
        </w:trPr>
        <w:tc>
          <w:tcPr>
            <w:tcW w:type="dxa" w:w="182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Application documents</w:t>
            </w:r>
          </w:p>
        </w:tc>
        <w:tc>
          <w:tcPr>
            <w:tcW w:type="dxa" w:w="277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versioned storage</w:t>
            </w:r>
          </w:p>
        </w:tc>
        <w:tc>
          <w:tcPr>
            <w:tcW w:type="dxa" w:w="205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daily/provider</w:t>
            </w:r>
          </w:p>
        </w:tc>
        <w:tc>
          <w:tcPr>
            <w:tcW w:type="dxa" w:w="115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IT</w:t>
            </w:r>
          </w:p>
        </w:tc>
        <w:tc>
          <w:tcPr>
            <w:tcW w:type="dxa" w:w="182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restore sample quarterly</w:t>
            </w:r>
          </w:p>
        </w:tc>
      </w:tr>
      <w:tr>
        <w:trPr>
          <w:cantSplit/>
        </w:trPr>
        <w:tc>
          <w:tcPr>
            <w:tcW w:type="dxa" w:w="18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TruckScale MySQL</w:t>
            </w:r>
          </w:p>
        </w:tc>
        <w:tc>
          <w:tcPr>
            <w:tcW w:type="dxa" w:w="277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snapshot + logical export where permitted</w:t>
            </w:r>
          </w:p>
        </w:tc>
        <w:tc>
          <w:tcPr>
            <w:tcW w:type="dxa" w:w="205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daily minimum</w:t>
            </w:r>
          </w:p>
        </w:tc>
        <w:tc>
          <w:tcPr>
            <w:tcW w:type="dxa" w:w="115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Factory IT</w:t>
            </w:r>
          </w:p>
        </w:tc>
        <w:tc>
          <w:tcPr>
            <w:tcW w:type="dxa" w:w="1820"/>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restore quarterly</w:t>
            </w:r>
          </w:p>
        </w:tc>
      </w:tr>
      <w:tr>
        <w:trPr>
          <w:cantSplit/>
        </w:trPr>
        <w:tc>
          <w:tcPr>
            <w:tcW w:type="dxa" w:w="182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config/secrets</w:t>
            </w:r>
          </w:p>
        </w:tc>
        <w:tc>
          <w:tcPr>
            <w:tcW w:type="dxa" w:w="277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non-secret config version + recovery procedure</w:t>
            </w:r>
          </w:p>
        </w:tc>
        <w:tc>
          <w:tcPr>
            <w:tcW w:type="dxa" w:w="205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on change</w:t>
            </w:r>
          </w:p>
        </w:tc>
        <w:tc>
          <w:tcPr>
            <w:tcW w:type="dxa" w:w="115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DevOps</w:t>
            </w:r>
          </w:p>
        </w:tc>
        <w:tc>
          <w:tcPr>
            <w:tcW w:type="dxa" w:w="1820"/>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5"/>
              </w:rPr>
              <w:t>access drill</w:t>
            </w:r>
          </w:p>
        </w:tc>
      </w:tr>
      <w:tr>
        <w:trPr>
          <w:cantSplit/>
        </w:trPr>
        <w:tc>
          <w:tcPr>
            <w:tcW w:type="dxa" w:w="182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release records</w:t>
            </w:r>
          </w:p>
        </w:tc>
        <w:tc>
          <w:tcPr>
            <w:tcW w:type="dxa" w:w="277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repo/tag/artifact retention</w:t>
            </w:r>
          </w:p>
        </w:tc>
        <w:tc>
          <w:tcPr>
            <w:tcW w:type="dxa" w:w="205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every release</w:t>
            </w:r>
          </w:p>
        </w:tc>
        <w:tc>
          <w:tcPr>
            <w:tcW w:type="dxa" w:w="1157"/>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DevOps</w:t>
            </w:r>
          </w:p>
        </w:tc>
        <w:tc>
          <w:tcPr>
            <w:tcW w:type="dxa" w:w="1820"/>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5"/>
              </w:rPr>
              <w:t>release drill</w:t>
            </w:r>
          </w:p>
        </w:tc>
      </w:tr>
    </w:tbl>
    <w:p>
      <w:pPr>
        <w:pStyle w:val="Heading3"/>
        <w:keepNext/>
      </w:pPr>
      <w:r>
        <w:rPr>
          <w:rFonts w:ascii="Kanit" w:hAnsi="Kanit" w:eastAsia="Kanit" w:cs="Kanit"/>
          <w:b/>
          <w:color w:val="2B8C82"/>
          <w:sz w:val="23"/>
        </w:rPr>
        <w:t>Recovery order</w:t>
      </w:r>
    </w:p>
    <w:p>
      <w:pPr>
        <w:pStyle w:val="ListNumber"/>
        <w:numPr>
          <w:numId w:val="18"/>
        </w:numPr>
        <w:spacing w:after="40"/>
      </w:pPr>
      <w:r>
        <w:rPr>
          <w:rFonts w:ascii="Prompt" w:hAnsi="Prompt" w:eastAsia="Prompt" w:cs="Prompt"/>
          <w:color w:val="1C2730"/>
          <w:sz w:val="18"/>
        </w:rPr>
        <w:t>contain and rebuild clean infra</w:t>
      </w:r>
    </w:p>
    <w:p>
      <w:pPr>
        <w:pStyle w:val="ListNumber"/>
        <w:numPr>
          <w:numId w:val="18"/>
        </w:numPr>
        <w:spacing w:after="40"/>
      </w:pPr>
      <w:r>
        <w:rPr>
          <w:rFonts w:ascii="Prompt" w:hAnsi="Prompt" w:eastAsia="Prompt" w:cs="Prompt"/>
          <w:color w:val="1C2730"/>
          <w:sz w:val="18"/>
        </w:rPr>
        <w:t>restore SQL/wf isolated validation</w:t>
      </w:r>
    </w:p>
    <w:p>
      <w:pPr>
        <w:pStyle w:val="ListNumber"/>
        <w:numPr>
          <w:numId w:val="18"/>
        </w:numPr>
        <w:spacing w:after="40"/>
      </w:pPr>
      <w:r>
        <w:rPr>
          <w:rFonts w:ascii="Prompt" w:hAnsi="Prompt" w:eastAsia="Prompt" w:cs="Prompt"/>
          <w:color w:val="1C2730"/>
          <w:sz w:val="18"/>
        </w:rPr>
        <w:t>validate schema/checksum/audit count/health</w:t>
      </w:r>
    </w:p>
    <w:p>
      <w:pPr>
        <w:pStyle w:val="ListNumber"/>
        <w:numPr>
          <w:numId w:val="18"/>
        </w:numPr>
        <w:spacing w:after="40"/>
      </w:pPr>
      <w:r>
        <w:rPr>
          <w:rFonts w:ascii="Prompt" w:hAnsi="Prompt" w:eastAsia="Prompt" w:cs="Prompt"/>
          <w:color w:val="1C2730"/>
          <w:sz w:val="18"/>
        </w:rPr>
        <w:t>restore artifact/config with rotated credentials</w:t>
      </w:r>
    </w:p>
    <w:p>
      <w:pPr>
        <w:pStyle w:val="ListNumber"/>
        <w:numPr>
          <w:numId w:val="18"/>
        </w:numPr>
        <w:spacing w:after="40"/>
      </w:pPr>
      <w:r>
        <w:rPr>
          <w:rFonts w:ascii="Prompt" w:hAnsi="Prompt" w:eastAsia="Prompt" w:cs="Prompt"/>
          <w:color w:val="1C2730"/>
          <w:sz w:val="18"/>
        </w:rPr>
        <w:t>verify TruckScale or fallback</w:t>
      </w:r>
    </w:p>
    <w:p>
      <w:pPr>
        <w:pStyle w:val="ListNumber"/>
        <w:numPr>
          <w:numId w:val="18"/>
        </w:numPr>
        <w:spacing w:after="40"/>
      </w:pPr>
      <w:r>
        <w:rPr>
          <w:rFonts w:ascii="Prompt" w:hAnsi="Prompt" w:eastAsia="Prompt" w:cs="Prompt"/>
          <w:color w:val="1C2730"/>
          <w:sz w:val="18"/>
        </w:rPr>
        <w:t>smoke critical journey</w:t>
      </w:r>
    </w:p>
    <w:p>
      <w:pPr>
        <w:pStyle w:val="ListNumber"/>
        <w:numPr>
          <w:numId w:val="18"/>
        </w:numPr>
        <w:spacing w:after="40"/>
      </w:pPr>
      <w:r>
        <w:rPr>
          <w:rFonts w:ascii="Prompt" w:hAnsi="Prompt" w:eastAsia="Prompt" w:cs="Prompt"/>
          <w:color w:val="1C2730"/>
          <w:sz w:val="18"/>
        </w:rPr>
        <w:t>reconcile external actions</w:t>
      </w:r>
    </w:p>
    <w:p>
      <w:pPr>
        <w:pStyle w:val="ListNumber"/>
        <w:numPr>
          <w:numId w:val="18"/>
        </w:numPr>
        <w:spacing w:after="40"/>
      </w:pPr>
      <w:r>
        <w:rPr>
          <w:rFonts w:ascii="Prompt" w:hAnsi="Prompt" w:eastAsia="Prompt" w:cs="Prompt"/>
          <w:color w:val="1C2730"/>
          <w:sz w:val="18"/>
        </w:rPr>
        <w:t>business/IT approve resumption</w:t>
      </w:r>
    </w:p>
    <w:p>
      <w:pPr>
        <w:pStyle w:val="Heading3"/>
        <w:keepNext/>
      </w:pPr>
      <w:r>
        <w:rPr>
          <w:rFonts w:ascii="Kanit" w:hAnsi="Kanit" w:eastAsia="Kanit" w:cs="Kanit"/>
          <w:b/>
          <w:color w:val="2B8C82"/>
          <w:sz w:val="23"/>
        </w:rPr>
        <w:t>BCP fallback</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3022"/>
        <w:gridCol w:w="6617"/>
      </w:tblGrid>
      <w:tr>
        <w:trPr>
          <w:tblHeader w:val="true"/>
          <w:cantSplit/>
        </w:trPr>
        <w:tc>
          <w:tcPr>
            <w:tcW w:type="dxa" w:w="3022"/>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Process</w:t>
            </w:r>
          </w:p>
        </w:tc>
        <w:tc>
          <w:tcPr>
            <w:tcW w:type="dxa" w:w="6617"/>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Fallback</w:t>
            </w:r>
          </w:p>
        </w:tc>
      </w:tr>
      <w:tr>
        <w:trPr>
          <w:cantSplit/>
        </w:trPr>
        <w:tc>
          <w:tcPr>
            <w:tcW w:type="dxa" w:w="302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w:t>
            </w:r>
          </w:p>
        </w:tc>
        <w:tc>
          <w:tcPr>
            <w:tcW w:type="dxa" w:w="661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approved WINSpeed/manual</w:t>
            </w:r>
          </w:p>
        </w:tc>
      </w:tr>
      <w:tr>
        <w:trPr>
          <w:cantSplit/>
        </w:trPr>
        <w:tc>
          <w:tcPr>
            <w:tcW w:type="dxa" w:w="302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Verification</w:t>
            </w:r>
          </w:p>
        </w:tc>
        <w:tc>
          <w:tcPr>
            <w:tcW w:type="dxa" w:w="661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checklist/signature</w:t>
            </w:r>
          </w:p>
        </w:tc>
      </w:tr>
      <w:tr>
        <w:trPr>
          <w:cantSplit/>
        </w:trPr>
        <w:tc>
          <w:tcPr>
            <w:tcW w:type="dxa" w:w="302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Pick/load</w:t>
            </w:r>
          </w:p>
        </w:tc>
        <w:tc>
          <w:tcPr>
            <w:tcW w:type="dxa" w:w="661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factory paper flow</w:t>
            </w:r>
          </w:p>
        </w:tc>
      </w:tr>
      <w:tr>
        <w:trPr>
          <w:cantSplit/>
        </w:trPr>
        <w:tc>
          <w:tcPr>
            <w:tcW w:type="dxa" w:w="3022"/>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Weigh</w:t>
            </w:r>
          </w:p>
        </w:tc>
        <w:tc>
          <w:tcPr>
            <w:tcW w:type="dxa" w:w="6617"/>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TruckScale native/manual record</w:t>
            </w:r>
          </w:p>
        </w:tc>
      </w:tr>
      <w:tr>
        <w:trPr>
          <w:cantSplit/>
        </w:trPr>
        <w:tc>
          <w:tcPr>
            <w:tcW w:type="dxa" w:w="3022"/>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Rebate</w:t>
            </w:r>
          </w:p>
        </w:tc>
        <w:tc>
          <w:tcPr>
            <w:tcW w:type="dxa" w:w="6617"/>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suspend automated claim; retain evidence</w:t>
            </w:r>
          </w:p>
        </w:tc>
      </w:tr>
      <w:tr>
        <w:trPr>
          <w:cantSplit/>
        </w:trPr>
        <w:tc>
          <w:tcPr>
            <w:tcW w:type="dxa" w:w="302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Invoice/CN</w:t>
            </w:r>
          </w:p>
        </w:tc>
        <w:tc>
          <w:tcPr>
            <w:tcW w:type="dxa" w:w="6617"/>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WINSpeed authorized process</w:t>
            </w:r>
          </w:p>
        </w:tc>
      </w:tr>
    </w:tbl>
    <w:p>
      <w:r>
        <w:br w:type="page"/>
      </w:r>
    </w:p>
    <w:p>
      <w:pPr>
        <w:pStyle w:val="Heading1"/>
        <w:keepNext/>
      </w:pPr>
      <w:r>
        <w:rPr>
          <w:rFonts w:ascii="Kanit" w:hAnsi="Kanit" w:eastAsia="Kanit" w:cs="Kanit"/>
          <w:b/>
          <w:color w:val="15334A"/>
          <w:sz w:val="34"/>
        </w:rPr>
        <w:t>Source and evidence register</w:t>
      </w: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1134"/>
        <w:gridCol w:w="4082"/>
        <w:gridCol w:w="2948"/>
        <w:gridCol w:w="1474"/>
      </w:tblGrid>
      <w:tr>
        <w:trPr>
          <w:tblHeader w:val="true"/>
          <w:cantSplit/>
        </w:trPr>
        <w:tc>
          <w:tcPr>
            <w:tcW w:type="dxa" w:w="1134"/>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Type</w:t>
            </w:r>
          </w:p>
        </w:tc>
        <w:tc>
          <w:tcPr>
            <w:tcW w:type="dxa" w:w="4082"/>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Path</w:t>
            </w:r>
          </w:p>
        </w:tc>
        <w:tc>
          <w:tcPr>
            <w:tcW w:type="dxa" w:w="2948"/>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SHA-256</w:t>
            </w:r>
          </w:p>
        </w:tc>
        <w:tc>
          <w:tcPr>
            <w:tcW w:type="dxa" w:w="1474"/>
            <w:shd w:fill="1B6B88"/>
            <w:vAlign w:val="center"/>
            <w:tcMar>
              <w:top w:w="90" w:type="dxa"/>
              <w:start w:w="110" w:type="dxa"/>
              <w:bottom w:w="90" w:type="dxa"/>
              <w:end w:w="110" w:type="dxa"/>
            </w:tcMar>
          </w:tcPr>
          <w:p>
            <w:pPr>
              <w:spacing w:after="0" w:line="245" w:lineRule="auto"/>
            </w:pPr>
            <w:r/>
            <w:r>
              <w:rPr>
                <w:rFonts w:ascii="Kanit" w:hAnsi="Kanit" w:eastAsia="Kanit" w:cs="Kanit"/>
                <w:b/>
                <w:color w:val="FFFFFF"/>
                <w:sz w:val="16"/>
              </w:rPr>
              <w:t>Disposition</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docs/enterprise/03-SOLUTION-ARCHITECTURE/TECHNICAL-SPECIFICATION.md</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3B973BA9DD623E8DA9BCC83A7391FB718BFDFB5AC0ABE420936360A66960871F</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docs/enterprise/04-DATA-INTEGRATION/API-REFERENCE.md</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FC051E970DCEFAC17EAE616E2BF9150A65C8ADC81C397462F5A8A5B96DFEE245</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docs/enterprise/04-DATA-INTEGRATION/DATABASE-OVERVIEW.md</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FDE4E30AB4944A73C973A3AB26E3D4787D0DB6159994BB7146C759C82D95D9BB</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docs/enterprise/04-DATA-INTEGRATION/TRUCKSCALE-INTEGRATION-CONTRACT.md</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23457F3BE33F4B1E05E2ADCE2E376B3E8BB86D35F42A76DB252C583497CB3FC2</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docs/enterprise/04-DATA-INTEGRATION/WINSPEED-INTEGRATION-CONTRACT.md</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C4B9B5C6BF6D5E41AA7A0F47C9B55AABF80B38BD01E7C6BCC07912B7345FBF31</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docs/enterprise/05-SECURITY-DEVOPS/SECURITY-ARCHITECTURE.md</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BD0FBC919CD9FA9AE7981296DE44B762BA087574E48ED44DBC4B33A4C08B006E</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docs/enterprise/05-SECURITY-DEVOPS/DEPLOYMENT-AND-CI-CD.md</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BAB94E26A0571D26875CCDB2E38BDF89BA2DA8D7A743E11ED7197186246642CC</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docs/enterprise/05-SECURITY-DEVOPS/OBSERVABILITY-INCIDENT-RUNBOOK.md</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032D5F4FED36D6E8929FA6E7D23C87C03D8DC128461C88E5548E4F0DD5A335B9</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docs/enterprise/05-SECURITY-DEVOPS/PERFORMANCE-ENGINEERING.md</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546887EAE5C0F4F9343797CC6E51D3EDE8BDFC2455A898F42E43ED5E962EC11C</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Markdown</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docs/enterprise/05-SECURITY-DEVOPS/BACKUP-DR-BCP.md</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C91E44F28E1624746AC13041B00BFC4D34B6044588AAEFB925E11FAF9AE7912D</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Merged into Review candidate</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Figure</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docs/enterprise/04-DIAGRAMS-PNG/candidate/domain/13-runtime-architecture.png</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B08C8F0563C3A84D538E52E28C74370BCDAF05744B2F358CFB60D90319D9E8D3</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Embedded with alt text</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Figure</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docs/enterprise/04-DIAGRAMS-PNG/candidate/source-aligned/10-current-api-surface.png</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8A53A8C65431682F31B136F14719CF9F61E5A194D7CE8A7DD59C915636B229EB</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Embedded with alt text</w:t>
            </w:r>
          </w:p>
        </w:tc>
      </w:tr>
      <w:tr>
        <w:trPr>
          <w:cantSplit/>
        </w:trPr>
        <w:tc>
          <w:tcPr>
            <w:tcW w:type="dxa" w:w="113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Figure</w:t>
            </w:r>
          </w:p>
        </w:tc>
        <w:tc>
          <w:tcPr>
            <w:tcW w:type="dxa" w:w="4082"/>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docs/enterprise/04-DIAGRAMS-PNG/candidate/domain/15-operational-erd.png</w:t>
            </w:r>
          </w:p>
        </w:tc>
        <w:tc>
          <w:tcPr>
            <w:tcW w:type="dxa" w:w="294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21C695D3CF235B7CE22C49E1ACC3E97A9142D959D95A24BE0FD71A4BEE127D01</w:t>
            </w:r>
          </w:p>
        </w:tc>
        <w:tc>
          <w:tcPr>
            <w:tcW w:type="dxa" w:w="1474"/>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Embedded with alt text</w:t>
            </w:r>
          </w:p>
        </w:tc>
      </w:tr>
      <w:tr>
        <w:trPr>
          <w:cantSplit/>
        </w:trPr>
        <w:tc>
          <w:tcPr>
            <w:tcW w:type="dxa" w:w="113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Figure</w:t>
            </w:r>
          </w:p>
        </w:tc>
        <w:tc>
          <w:tcPr>
            <w:tcW w:type="dxa" w:w="4082"/>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docs/enterprise/04-DIAGRAMS-PNG/candidate/source-aligned/11-document-evidence-flow.png</w:t>
            </w:r>
          </w:p>
        </w:tc>
        <w:tc>
          <w:tcPr>
            <w:tcW w:type="dxa" w:w="2948"/>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548F911D8F984E57874697AC4D3FE838899F05350AF6EA8928148D7739DAA251</w:t>
            </w:r>
          </w:p>
        </w:tc>
        <w:tc>
          <w:tcPr>
            <w:tcW w:type="dxa" w:w="1474"/>
            <w:shd w:fill="FFFFFF"/>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4"/>
              </w:rPr>
              <w:t>Embedded with alt text</w:t>
            </w:r>
          </w:p>
        </w:tc>
      </w:tr>
    </w:tbl>
    <w:p>
      <w:r>
        <w:br w:type="page"/>
      </w:r>
    </w:p>
    <w:p>
      <w:pPr>
        <w:pStyle w:val="Heading1"/>
        <w:keepNext/>
      </w:pPr>
      <w:r>
        <w:rPr>
          <w:rFonts w:ascii="Kanit" w:hAnsi="Kanit" w:eastAsia="Kanit" w:cs="Kanit"/>
          <w:b/>
          <w:color w:val="15334A"/>
          <w:sz w:val="34"/>
        </w:rPr>
        <w:t>Approval boundary</w:t>
      </w:r>
    </w:p>
    <w:tbl>
      <w:tblPr>
        <w:tblW w:type="auto" w:w="0"/>
        <w:jc w:val="center"/>
        <w:tblLayout w:type="fixed"/>
        <w:tblLook w:firstColumn="1" w:firstRow="1" w:lastColumn="0" w:lastRow="0" w:noHBand="0" w:noVBand="1" w:val="04A0"/>
        <w:tblBorders>
          <w:top w:val="single" w:sz="0" w:color="F8E5E5"/>
          <w:left w:val="single" w:sz="0" w:color="F8E5E5"/>
          <w:bottom w:val="single" w:sz="0" w:color="F8E5E5"/>
          <w:right w:val="single" w:sz="0" w:color="F8E5E5"/>
          <w:insideH w:val="single" w:sz="0" w:color="F8E5E5"/>
          <w:insideV w:val="single" w:sz="0" w:color="F8E5E5"/>
        </w:tblBorders>
      </w:tblPr>
      <w:tblGrid>
        <w:gridCol w:w="198"/>
        <w:gridCol w:w="9441"/>
      </w:tblGrid>
      <w:tr>
        <w:tc>
          <w:tcPr>
            <w:tcW w:type="dxa" w:w="198"/>
            <w:shd w:fill="A63C3C"/>
          </w:tcPr>
          <w:p>
            <w:r/>
          </w:p>
        </w:tc>
        <w:tc>
          <w:tcPr>
            <w:tcW w:type="dxa" w:w="9441"/>
            <w:shd w:fill="F8E5E5"/>
            <w:tcMar>
              <w:top w:w="120" w:type="dxa"/>
              <w:start w:w="140" w:type="dxa"/>
              <w:bottom w:w="120" w:type="dxa"/>
              <w:end w:w="140" w:type="dxa"/>
            </w:tcMar>
          </w:tcPr>
          <w:p>
            <w:pPr>
              <w:spacing w:after="0"/>
            </w:pPr>
            <w:r>
              <w:rPr>
                <w:rFonts w:ascii="Kanit" w:hAnsi="Kanit" w:eastAsia="Kanit" w:cs="Kanit"/>
                <w:b/>
                <w:color w:val="15334A"/>
                <w:sz w:val="19"/>
              </w:rPr>
              <w:t xml:space="preserve">Pending human decision  </w:t>
            </w:r>
            <w:r>
              <w:rPr>
                <w:rFonts w:ascii="Prompt" w:hAnsi="Prompt" w:eastAsia="Prompt" w:cs="Prompt"/>
                <w:b w:val="0"/>
                <w:color w:val="1C2730"/>
                <w:sz w:val="18"/>
              </w:rPr>
              <w:t>Candidate นี้ยังไม่เป็น baseline. ต้อง review ความถูกต้องของ business rule, API/data contract, external write boundary, security, operations และ UAT evidence ก่อนบันทึกผู้อนุมัติ/วันที่/ข้อยกเว้น.</w:t>
            </w:r>
          </w:p>
        </w:tc>
      </w:tr>
    </w:tbl>
    <w:p>
      <w:pPr>
        <w:spacing w:after="0" w:line="96" w:lineRule="auto"/>
      </w:pPr>
    </w:p>
    <w:tbl>
      <w:tblPr>
        <w:tblW w:type="auto" w:w="0"/>
        <w:jc w:val="center"/>
        <w:tblLayout w:type="fixed"/>
        <w:tblLook w:firstColumn="1" w:firstRow="1" w:lastColumn="0" w:lastRow="0" w:noHBand="0" w:noVBand="1" w:val="04A0"/>
        <w:tblBorders>
          <w:top w:val="single" w:sz="6" w:color="C7D5DC"/>
          <w:left w:val="single" w:sz="6" w:color="C7D5DC"/>
          <w:bottom w:val="single" w:sz="6" w:color="C7D5DC"/>
          <w:right w:val="single" w:sz="6" w:color="C7D5DC"/>
          <w:insideH w:val="single" w:sz="6" w:color="C7D5DC"/>
          <w:insideV w:val="single" w:sz="6" w:color="C7D5DC"/>
        </w:tblBorders>
      </w:tblPr>
      <w:tblGrid>
        <w:gridCol w:w="2268"/>
        <w:gridCol w:w="1701"/>
        <w:gridCol w:w="1701"/>
        <w:gridCol w:w="3969"/>
      </w:tblGrid>
      <w:tr>
        <w:trPr>
          <w:tblHeader w:val="true"/>
          <w:cantSplit/>
        </w:trPr>
        <w:tc>
          <w:tcPr>
            <w:tcW w:type="dxa" w:w="2268"/>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Approval role</w:t>
            </w:r>
          </w:p>
        </w:tc>
        <w:tc>
          <w:tcPr>
            <w:tcW w:type="dxa" w:w="170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Name</w:t>
            </w:r>
          </w:p>
        </w:tc>
        <w:tc>
          <w:tcPr>
            <w:tcW w:type="dxa" w:w="1701"/>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Decision / date</w:t>
            </w:r>
          </w:p>
        </w:tc>
        <w:tc>
          <w:tcPr>
            <w:tcW w:type="dxa" w:w="3969"/>
            <w:shd w:fill="1B6B88"/>
            <w:vAlign w:val="center"/>
            <w:tcMar>
              <w:top w:w="90" w:type="dxa"/>
              <w:start w:w="110" w:type="dxa"/>
              <w:bottom w:w="90" w:type="dxa"/>
              <w:end w:w="110" w:type="dxa"/>
            </w:tcMar>
          </w:tcPr>
          <w:p>
            <w:pPr>
              <w:keepNext/>
              <w:spacing w:after="0" w:line="245" w:lineRule="auto"/>
            </w:pPr>
            <w:r/>
            <w:r>
              <w:rPr>
                <w:rFonts w:ascii="Kanit" w:hAnsi="Kanit" w:eastAsia="Kanit" w:cs="Kanit"/>
                <w:b/>
                <w:color w:val="FFFFFF"/>
                <w:sz w:val="16"/>
              </w:rPr>
              <w:t>Conditions or evidence reference</w:t>
            </w:r>
          </w:p>
        </w:tc>
      </w:tr>
      <w:tr>
        <w:trPr>
          <w:cantSplit/>
        </w:trPr>
        <w:tc>
          <w:tcPr>
            <w:tcW w:type="dxa" w:w="22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Business owner / Product owner</w:t>
            </w:r>
          </w:p>
        </w:tc>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Pending</w:t>
            </w:r>
          </w:p>
        </w:tc>
        <w:tc>
          <w:tcPr>
            <w:tcW w:type="dxa" w:w="39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r>
      <w:tr>
        <w:trPr>
          <w:cantSplit/>
        </w:trPr>
        <w:tc>
          <w:tcPr>
            <w:tcW w:type="dxa" w:w="22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Solution architect / Technical lead</w:t>
            </w:r>
          </w:p>
        </w:tc>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Pending</w:t>
            </w:r>
          </w:p>
        </w:tc>
        <w:tc>
          <w:tcPr>
            <w:tcW w:type="dxa" w:w="39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r>
      <w:tr>
        <w:trPr>
          <w:cantSplit/>
        </w:trPr>
        <w:tc>
          <w:tcPr>
            <w:tcW w:type="dxa" w:w="2268"/>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Security / DBA / Integration owner</w:t>
            </w:r>
          </w:p>
        </w:tc>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c>
          <w:tcPr>
            <w:tcW w:type="dxa" w:w="1701"/>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Pending</w:t>
            </w:r>
          </w:p>
        </w:tc>
        <w:tc>
          <w:tcPr>
            <w:tcW w:type="dxa" w:w="3969"/>
            <w:shd w:fill="F4F8FA"/>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r>
      <w:tr>
        <w:trPr>
          <w:cantSplit/>
        </w:trPr>
        <w:tc>
          <w:tcPr>
            <w:tcW w:type="dxa" w:w="2268"/>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QA / UAT owner</w:t>
            </w:r>
          </w:p>
        </w:tc>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c>
          <w:tcPr>
            <w:tcW w:type="dxa" w:w="1701"/>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t>Pending</w:t>
            </w:r>
          </w:p>
        </w:tc>
        <w:tc>
          <w:tcPr>
            <w:tcW w:type="dxa" w:w="3969"/>
            <w:shd w:fill="FFFFFF"/>
            <w:vAlign w:val="center"/>
            <w:tcMar>
              <w:top w:w="90" w:type="dxa"/>
              <w:start w:w="110" w:type="dxa"/>
              <w:bottom w:w="90" w:type="dxa"/>
              <w:end w:w="110" w:type="dxa"/>
            </w:tcMar>
          </w:tcPr>
          <w:p>
            <w:pPr>
              <w:keepNext/>
              <w:spacing w:after="0" w:line="245" w:lineRule="auto"/>
            </w:pPr>
            <w:r/>
            <w:r>
              <w:rPr>
                <w:rFonts w:ascii="Prompt" w:hAnsi="Prompt" w:eastAsia="Prompt" w:cs="Prompt"/>
                <w:b w:val="0"/>
                <w:color w:val="1C2730"/>
                <w:sz w:val="16"/>
              </w:rPr>
            </w:r>
          </w:p>
        </w:tc>
      </w:tr>
      <w:tr>
        <w:trPr>
          <w:cantSplit/>
        </w:trPr>
        <w:tc>
          <w:tcPr>
            <w:tcW w:type="dxa" w:w="2268"/>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Operations / Release authority</w:t>
            </w:r>
          </w:p>
        </w:tc>
        <w:tc>
          <w:tcPr>
            <w:tcW w:type="dxa" w:w="170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r>
          </w:p>
        </w:tc>
        <w:tc>
          <w:tcPr>
            <w:tcW w:type="dxa" w:w="1701"/>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t>Pending</w:t>
            </w:r>
          </w:p>
        </w:tc>
        <w:tc>
          <w:tcPr>
            <w:tcW w:type="dxa" w:w="3969"/>
            <w:shd w:fill="F4F8FA"/>
            <w:vAlign w:val="center"/>
            <w:tcMar>
              <w:top w:w="90" w:type="dxa"/>
              <w:start w:w="110" w:type="dxa"/>
              <w:bottom w:w="90" w:type="dxa"/>
              <w:end w:w="110" w:type="dxa"/>
            </w:tcMar>
          </w:tcPr>
          <w:p>
            <w:pPr>
              <w:spacing w:after="0" w:line="245" w:lineRule="auto"/>
            </w:pPr>
            <w:r/>
            <w:r>
              <w:rPr>
                <w:rFonts w:ascii="Prompt" w:hAnsi="Prompt" w:eastAsia="Prompt" w:cs="Prompt"/>
                <w:b w:val="0"/>
                <w:color w:val="1C2730"/>
                <w:sz w:val="16"/>
              </w:rPr>
            </w:r>
          </w:p>
        </w:tc>
      </w:tr>
    </w:tbl>
    <w:sectPr w:rsidR="00FC693F" w:rsidRPr="0006063C" w:rsidSect="00034616">
      <w:headerReference w:type="default" r:id="rId9"/>
      <w:footerReference w:type="default" r:id="rId10"/>
      <w:pgSz w:w="11906" w:h="16838"/>
      <w:pgMar w:top="879" w:right="1134" w:bottom="822" w:left="1134"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rompt" w:hAnsi="Prompt" w:eastAsia="Prompt" w:cs="Prompt"/>
        <w:color w:val="5B6872"/>
        <w:sz w:val="15"/>
      </w:rPr>
      <w:t xml:space="preserve">CONFIDENTIAL · Candidate / Review only  |  </w:t>
    </w:r>
    <w:r>
      <w:rPr>
        <w:rFonts w:ascii="Prompt" w:hAnsi="Prompt" w:eastAsia="Prompt" w:cs="Prompt"/>
        <w:color w:val="5B6872"/>
        <w:sz w:val="16"/>
      </w:rPr>
      <w:fldChar w:fldCharType="begin"/>
      <w:instrText xml:space="preserve">PAGE</w:instrText>
      <w:fldChar w:fldCharType="separate"/>
      <w:t>1</w:t>
      <w:fldChar w:fldCharType="end"/>
    </w:r>
    <w:r>
      <w:rPr>
        <w:rFonts w:ascii="Prompt" w:hAnsi="Prompt" w:eastAsia="Prompt" w:cs="Prompt"/>
        <w:color w:val="5B6872"/>
        <w:sz w:val="15"/>
      </w:rPr>
      <w:t xml:space="preserve"> / </w:t>
    </w:r>
    <w:r>
      <w:rPr>
        <w:rFonts w:ascii="Prompt" w:hAnsi="Prompt" w:eastAsia="Prompt" w:cs="Prompt"/>
        <w:color w:val="5B6872"/>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color="15334A"/>
        <w:left w:val="single" w:sz="0" w:color="15334A"/>
        <w:bottom w:val="single" w:sz="0" w:color="15334A"/>
        <w:right w:val="single" w:sz="0" w:color="15334A"/>
        <w:insideH w:val="single" w:sz="0" w:color="15334A"/>
        <w:insideV w:val="single" w:sz="0" w:color="15334A"/>
      </w:tblBorders>
    </w:tblPr>
    <w:tblGrid>
      <w:gridCol w:w="6180"/>
      <w:gridCol w:w="3459"/>
    </w:tblGrid>
    <w:tr>
      <w:tc>
        <w:tcPr>
          <w:tcW w:type="dxa" w:w="6180"/>
          <w:shd w:fill="15334A"/>
          <w:vAlign w:val="center"/>
          <w:tcMar>
            <w:top w:w="90" w:type="dxa"/>
            <w:start w:w="110" w:type="dxa"/>
            <w:bottom w:w="90" w:type="dxa"/>
            <w:end w:w="110" w:type="dxa"/>
          </w:tcMar>
        </w:tcPr>
        <w:p>
          <w:pPr>
            <w:spacing w:after="0" w:line="245" w:lineRule="auto"/>
          </w:pPr>
          <w:r/>
          <w:r>
            <w:rPr>
              <w:rFonts w:ascii="Kanit" w:hAnsi="Kanit" w:eastAsia="Kanit" w:cs="Kanit"/>
              <w:b/>
              <w:color w:val="FFFFFF"/>
              <w:sz w:val="17"/>
            </w:rPr>
            <w:t>WS-Sale-App  |  Technical Specification</w:t>
          </w:r>
        </w:p>
      </w:tc>
      <w:tc>
        <w:tcPr>
          <w:tcW w:type="dxa" w:w="3459"/>
          <w:shd w:fill="DDEEF3"/>
          <w:vAlign w:val="center"/>
          <w:tcMar>
            <w:top w:w="90" w:type="dxa"/>
            <w:start w:w="110" w:type="dxa"/>
            <w:bottom w:w="90" w:type="dxa"/>
            <w:end w:w="110" w:type="dxa"/>
          </w:tcMar>
        </w:tcPr>
        <w:p>
          <w:pPr>
            <w:spacing w:after="0" w:line="245" w:lineRule="auto"/>
            <w:jc w:val="right"/>
          </w:pPr>
          <w:r/>
          <w:r>
            <w:rPr>
              <w:rFonts w:ascii="Kanit" w:hAnsi="Kanit" w:eastAsia="Kanit" w:cs="Kanit"/>
              <w:b/>
              <w:color w:val="15334A"/>
              <w:sz w:val="16"/>
            </w:rPr>
            <w:t>WF-TECH-001  ·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Prompt" w:hAnsi="Prompt" w:eastAsia="Prompt"/>
      <w:color w:val="1C2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Kanit" w:hAnsi="Kanit" w:eastAsia="Kanit"/>
      <w:b/>
      <w:bCs/>
      <w:color w:val="15334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Kanit" w:hAnsi="Kanit" w:eastAsia="Kanit"/>
      <w:b/>
      <w:bCs/>
      <w:color w:val="1B6B8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Kanit" w:hAnsi="Kanit" w:eastAsia="Kanit"/>
      <w:b/>
      <w:bCs/>
      <w:color w:val="2B8C82"/>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Kanit" w:hAnsi="Kanit" w:eastAsia="Kanit"/>
      <w:b/>
      <w:bCs/>
      <w:i/>
      <w:iCs/>
      <w:color w:val="1C273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Kanit" w:hAnsi="Kanit" w:eastAsia="Kanit"/>
      <w:b/>
      <w:color w:val="FFFFF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Kanit" w:hAnsi="Kanit" w:eastAsia="Kanit"/>
      <w:b/>
      <w:i/>
      <w:iCs/>
      <w:color w:val="FFFFF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Prompt" w:hAnsi="Prompt" w:eastAsia="Prompt"/>
      <w:sz w:val="18"/>
    </w:rPr>
  </w:style>
  <w:style w:type="paragraph" w:styleId="ListBullet2">
    <w:name w:val="List Bullet 2"/>
    <w:basedOn w:val="Normal"/>
    <w:uiPriority w:val="99"/>
    <w:unhideWhenUsed/>
    <w:rsid w:val="00326F90"/>
    <w:pPr>
      <w:numPr>
        <w:numId w:val="2"/>
      </w:numPr>
      <w:spacing w:after="40"/>
      <w:contextualSpacing/>
    </w:pPr>
    <w:rPr>
      <w:rFonts w:ascii="Prompt" w:hAnsi="Prompt" w:eastAsia="Prompt"/>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Prompt" w:hAnsi="Prompt" w:eastAsia="Prompt"/>
      <w:sz w:val="18"/>
    </w:rPr>
  </w:style>
  <w:style w:type="paragraph" w:styleId="ListNumber2">
    <w:name w:val="List Number 2"/>
    <w:basedOn w:val="Normal"/>
    <w:uiPriority w:val="99"/>
    <w:unhideWhenUsed/>
    <w:rsid w:val="0029639D"/>
    <w:pPr>
      <w:numPr>
        <w:numId w:val="6"/>
      </w:numPr>
      <w:spacing w:after="40"/>
      <w:contextualSpacing/>
    </w:pPr>
    <w:rPr>
      <w:rFonts w:ascii="Prompt" w:hAnsi="Prompt" w:eastAsia="Prompt"/>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dc:title>
  <dc:subject>Runtime, API, Data, Integration, Security and Operations</dc:subject>
  <dc:creator>World Fert Solution Documentation Pipeline</dc:creator>
  <cp:keywords>WS-Sale-App, Review Candidate, ISO, source-aligned, traceability</cp:keywords>
  <dc:description>Generated candidate. Human approval and baseline acceptance are required.</dc:description>
  <cp:lastModifiedBy/>
  <cp:revision>1</cp:revision>
  <dcterms:created xsi:type="dcterms:W3CDTF">2013-12-23T23:15:00Z</dcterms:created>
  <dcterms:modified xsi:type="dcterms:W3CDTF">2013-12-23T23:15:00Z</dcterms:modified>
  <cp:category>Controlled solution-development document</cp:category>
  <dc:language>th-TH</dc:language>
</cp:coreProperties>
</file>