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6931D">
      <w:pPr>
        <w:pStyle w:val="2"/>
      </w:pPr>
      <w:r>
        <w:t>实验</w:t>
      </w:r>
      <w:r>
        <w:rPr>
          <w:rFonts w:hint="eastAsia"/>
        </w:rPr>
        <w:t>二 非均匀量化P</w:t>
      </w:r>
      <w:r>
        <w:t>CM编译码实验</w:t>
      </w:r>
    </w:p>
    <w:p w14:paraId="3AA69A80">
      <w:pPr>
        <w:pStyle w:val="3"/>
      </w:pPr>
      <w:r>
        <w:rPr>
          <w:rFonts w:hint="eastAsia"/>
        </w:rPr>
        <w:t>一、实验目的</w:t>
      </w:r>
    </w:p>
    <w:p w14:paraId="2481F313">
      <w:r>
        <w:rPr>
          <w:rFonts w:hint="eastAsia"/>
        </w:rPr>
        <w:t>1、掌握抽样信号的量化原理。</w:t>
      </w:r>
    </w:p>
    <w:p w14:paraId="2856D9D3">
      <w:r>
        <w:rPr>
          <w:rFonts w:hint="eastAsia"/>
        </w:rPr>
        <w:t>2、掌握脉冲编码调制的原理。</w:t>
      </w:r>
    </w:p>
    <w:p w14:paraId="26EF36CA">
      <w:r>
        <w:rPr>
          <w:rFonts w:hint="eastAsia"/>
        </w:rPr>
        <w:t>3、掌握通过MATLAB编程实现非均匀量化PCM编译码。</w:t>
      </w:r>
    </w:p>
    <w:p w14:paraId="4215B3A2">
      <w:pPr>
        <w:pStyle w:val="3"/>
      </w:pPr>
      <w:r>
        <w:rPr>
          <w:rFonts w:hint="eastAsia"/>
        </w:rPr>
        <w:t>二、实验设备</w:t>
      </w:r>
    </w:p>
    <w:p w14:paraId="559915EE">
      <w:r>
        <w:rPr>
          <w:rFonts w:hint="eastAsia"/>
        </w:rPr>
        <w:t>1、硬件平台</w:t>
      </w:r>
    </w:p>
    <w:p w14:paraId="6CEB419F">
      <w:r>
        <w:rPr>
          <w:rFonts w:hint="eastAsia"/>
        </w:rPr>
        <w:t>（1）XSRP软件无线电创新平台一台</w:t>
      </w:r>
    </w:p>
    <w:p w14:paraId="18415BC3">
      <w:r>
        <w:rPr>
          <w:rFonts w:hint="eastAsia"/>
        </w:rPr>
        <w:t>（2）电脑一台</w:t>
      </w:r>
    </w:p>
    <w:p w14:paraId="1E6A0A01">
      <w:pPr>
        <w:jc w:val="left"/>
      </w:pPr>
      <w:r>
        <w:t>（3）数字示波器一台</w:t>
      </w:r>
    </w:p>
    <w:p w14:paraId="650E8ABF">
      <w:r>
        <w:rPr>
          <w:rFonts w:hint="eastAsia"/>
        </w:rPr>
        <w:t>2、软件平台</w:t>
      </w:r>
    </w:p>
    <w:p w14:paraId="79EDBF0A">
      <w:r>
        <w:rPr>
          <w:rFonts w:hint="eastAsia"/>
        </w:rPr>
        <w:t>（1）XSRP软件无线电创新平台集成开发软件</w:t>
      </w:r>
    </w:p>
    <w:p w14:paraId="30C6D3ED">
      <w:r>
        <w:rPr>
          <w:rFonts w:hint="eastAsia"/>
        </w:rPr>
        <w:t>（2）MATLAB2012b</w:t>
      </w:r>
    </w:p>
    <w:p w14:paraId="56BCF726">
      <w:pPr>
        <w:pStyle w:val="3"/>
      </w:pPr>
      <w:r>
        <w:rPr>
          <w:rFonts w:hint="eastAsia"/>
        </w:rPr>
        <w:t>三、实验内容</w:t>
      </w:r>
    </w:p>
    <w:p w14:paraId="2A6254A8">
      <w:pPr>
        <w:rPr>
          <w:b/>
        </w:rPr>
      </w:pPr>
      <w:r>
        <w:rPr>
          <w:rFonts w:hint="eastAsia"/>
          <w:b/>
        </w:rPr>
        <w:t>1、观测并记录不同配置参数下软件仿真波形和示波器实测波形。</w:t>
      </w:r>
    </w:p>
    <w:p w14:paraId="1956816F">
      <w:r>
        <w:rPr>
          <w:rFonts w:hint="eastAsia"/>
        </w:rPr>
        <w:t>（1）信号幅度为10，信号频率为</w:t>
      </w:r>
      <w:r>
        <w:t>10</w:t>
      </w:r>
      <w:r>
        <w:rPr>
          <w:rFonts w:hint="eastAsia"/>
        </w:rPr>
        <w:t>Hz，抽样频率为</w:t>
      </w:r>
      <w:r>
        <w:t>100</w:t>
      </w:r>
      <w:r>
        <w:rPr>
          <w:rFonts w:hint="eastAsia"/>
        </w:rPr>
        <w:t>Hz的情况下，观测并记录软件仿真波形和示波器实测波形，相关波形填写到“六、实验记录”中。</w:t>
      </w:r>
    </w:p>
    <w:p w14:paraId="26B02EFB">
      <w:r>
        <w:rPr>
          <w:rFonts w:hint="eastAsia"/>
        </w:rPr>
        <w:t>（2）信号幅度为10，信号频率为</w:t>
      </w:r>
      <w:r>
        <w:t>10</w:t>
      </w:r>
      <w:r>
        <w:rPr>
          <w:rFonts w:hint="eastAsia"/>
        </w:rPr>
        <w:t>Hz，抽样频率为</w:t>
      </w:r>
      <w:r>
        <w:t>5</w:t>
      </w:r>
      <w:r>
        <w:rPr>
          <w:rFonts w:hint="eastAsia"/>
        </w:rPr>
        <w:t>00Hz的情况下，观察软件仿真波形。</w:t>
      </w:r>
    </w:p>
    <w:p w14:paraId="50071ABD">
      <w:pPr>
        <w:rPr>
          <w:b/>
        </w:rPr>
      </w:pPr>
      <w:r>
        <w:rPr>
          <w:b/>
        </w:rPr>
        <w:t>2、读懂参考例程的程序，观察并记录软件仿真波形</w:t>
      </w:r>
      <w:r>
        <w:rPr>
          <w:rFonts w:hint="eastAsia"/>
          <w:b/>
        </w:rPr>
        <w:t>和示波器实测波形。</w:t>
      </w:r>
    </w:p>
    <w:p w14:paraId="3B99B068">
      <w:pPr>
        <w:rPr>
          <w:rFonts w:cs="Times New Roman"/>
          <w:b/>
        </w:rPr>
      </w:pPr>
      <w:r>
        <w:rPr>
          <w:rFonts w:cs="Times New Roman"/>
          <w:b/>
        </w:rPr>
        <w:t>3</w:t>
      </w:r>
      <w:r>
        <w:rPr>
          <w:rFonts w:hint="eastAsia" w:cs="Times New Roman"/>
          <w:b/>
        </w:rPr>
        <w:t>、根据学生编程的要求，现场编写MATLAB程序，观察并记录软件仿真波形和示波器实测波形。</w:t>
      </w:r>
    </w:p>
    <w:p w14:paraId="12116744">
      <w:pPr>
        <w:pStyle w:val="3"/>
      </w:pPr>
      <w:r>
        <w:rPr>
          <w:rFonts w:hint="eastAsia"/>
        </w:rPr>
        <w:t>四、实验原理</w:t>
      </w:r>
    </w:p>
    <w:p w14:paraId="40B35B3E">
      <w:pPr>
        <w:rPr>
          <w:b/>
        </w:rPr>
      </w:pPr>
      <w:r>
        <w:rPr>
          <w:rFonts w:hint="eastAsia"/>
          <w:b/>
        </w:rPr>
        <w:t>1、抽样信号的量化原理</w:t>
      </w:r>
    </w:p>
    <w:p w14:paraId="3BC03490">
      <w:pPr>
        <w:ind w:firstLine="480" w:firstLineChars="200"/>
      </w:pPr>
      <w:r>
        <w:rPr>
          <w:rFonts w:hint="eastAsia"/>
        </w:rPr>
        <w:t>模拟信号抽样后变成在时间离散的信号，但仍然是模拟信号。必须经过量化才成为数字信号。模拟信号的量化分为均匀量化和非均匀量化两种。</w:t>
      </w:r>
    </w:p>
    <w:p w14:paraId="57AD4663">
      <w:pPr>
        <w:ind w:firstLine="480" w:firstLineChars="200"/>
      </w:pPr>
      <w:r>
        <w:rPr>
          <w:rFonts w:hint="eastAsia"/>
        </w:rPr>
        <w:t>均匀量化的量化间隔保持不变。均匀量化当信号小时，信号量噪比S</w:t>
      </w:r>
      <w:r>
        <w:t>/N</w:t>
      </w:r>
      <w:r>
        <w:rPr>
          <w:rFonts w:hint="eastAsia"/>
        </w:rPr>
        <w:t>q也小，往往会达不到要求，这就相当于限制了输入信号的动态范围。因此小信号时往往采用非均匀量化方式。</w:t>
      </w:r>
    </w:p>
    <w:p w14:paraId="2D722825">
      <w:pPr>
        <w:ind w:firstLine="480" w:firstLineChars="200"/>
      </w:pPr>
      <w:r>
        <w:rPr>
          <w:rFonts w:hint="eastAsia"/>
        </w:rPr>
        <w:t>非均匀量化是根据信号的不同区间来确定量化间隔的。对于信号取值小的区间，其量化间隔</w:t>
      </w:r>
      <w:r>
        <w:fldChar w:fldCharType="begin"/>
      </w:r>
      <w:r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 xml:space="preserve">∆v</m:t>
        </m:r>
      </m:oMath>
      <w:r>
        <w:instrText xml:space="preserve"> </w:instrText>
      </w:r>
      <w:r>
        <w:fldChar w:fldCharType="end"/>
      </w:r>
      <w:r>
        <w:rPr>
          <w:position w:val="-6"/>
        </w:rPr>
        <w:object>
          <v:shape id="_x0000_i1025" o:spt="75" type="#_x0000_t75" style="height:14pt;width:1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6">
            <o:LockedField>false</o:LockedField>
          </o:OLEObject>
        </w:object>
      </w:r>
      <w:r>
        <w:rPr>
          <w:rFonts w:hint="eastAsia"/>
        </w:rPr>
        <w:t>也小；反之，量化间隔就大。非均匀量化与均匀量化相比，有两个突出的优点：首先，当输入量化器的信号具有非均匀分布的概率密度（实际中往往是这样）时，非均匀量化器的输出端可以得到较高的平均信号量化噪声功率比；其次，非均匀量化时，量化噪声功率的均方值基本上与信号抽样值成比例，因此量化噪声对大、小信号的影响大致相同，即改善了小信号时的信噪比。</w:t>
      </w:r>
    </w:p>
    <w:p w14:paraId="0F7AE7AA">
      <w:pPr>
        <w:ind w:firstLine="480" w:firstLineChars="200"/>
      </w:pPr>
      <w:r>
        <w:rPr>
          <w:rFonts w:hint="eastAsia"/>
        </w:rPr>
        <w:t>现在广泛采用两种对数压缩，美国采用</w:t>
      </w:r>
      <w:r>
        <w:fldChar w:fldCharType="begin"/>
      </w:r>
      <w:r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 xml:space="preserve">μ</m:t>
        </m:r>
      </m:oMath>
      <w:r>
        <w:instrText xml:space="preserve"> </w:instrText>
      </w:r>
      <w:r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fldChar w:fldCharType="end"/>
      </w:r>
      <w:r>
        <w:rPr>
          <w:rFonts w:hint="eastAsia"/>
        </w:rPr>
        <w:t>压缩律，我国和欧洲各国均采用A压缩律。</w:t>
      </w:r>
    </w:p>
    <w:p w14:paraId="79161E86">
      <w:pPr>
        <w:ind w:firstLine="480" w:firstLineChars="200"/>
      </w:pPr>
      <w:r>
        <w:rPr>
          <w:rFonts w:hint="eastAsia"/>
        </w:rPr>
        <w:t>A律压扩特性是连续曲线，实际中往往都采用近似于A律函数规律的13折线（A=87.6）的压扩特性。这样，它基本保持连续压扩特性曲线的优点，又便于用数字电路来实现，如下图1所示。</w:t>
      </w:r>
    </w:p>
    <w:p w14:paraId="609DFC9B">
      <w:pPr>
        <w:jc w:val="center"/>
      </w:pPr>
      <w:r>
        <w:drawing>
          <wp:inline distT="0" distB="0" distL="0" distR="0">
            <wp:extent cx="4994910" cy="40887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9EF3">
      <w:pPr>
        <w:jc w:val="center"/>
      </w:pPr>
      <w:r>
        <w:t>图</w:t>
      </w:r>
      <w:r>
        <w:rPr>
          <w:rFonts w:hint="eastAsia"/>
        </w:rPr>
        <w:t>1</w:t>
      </w:r>
      <w:r>
        <w:t xml:space="preserve"> 13折线特性</w:t>
      </w:r>
    </w:p>
    <w:p w14:paraId="550EA58B">
      <w:pPr>
        <w:ind w:firstLine="480" w:firstLineChars="200"/>
      </w:pPr>
      <w:r>
        <w:rPr>
          <w:rFonts w:hint="eastAsia"/>
        </w:rPr>
        <w:t>下表列出了13折线时的x值与计算得的x值的比较。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4"/>
        <w:gridCol w:w="739"/>
        <w:gridCol w:w="486"/>
        <w:gridCol w:w="305"/>
        <w:gridCol w:w="431"/>
        <w:gridCol w:w="371"/>
        <w:gridCol w:w="370"/>
        <w:gridCol w:w="433"/>
        <w:gridCol w:w="376"/>
        <w:gridCol w:w="424"/>
        <w:gridCol w:w="398"/>
        <w:gridCol w:w="406"/>
        <w:gridCol w:w="373"/>
        <w:gridCol w:w="426"/>
        <w:gridCol w:w="335"/>
        <w:gridCol w:w="465"/>
        <w:gridCol w:w="740"/>
      </w:tblGrid>
      <w:tr w14:paraId="12A82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6" w:hRule="atLeast"/>
          <w:jc w:val="center"/>
        </w:trPr>
        <w:tc>
          <w:tcPr>
            <w:tcW w:w="1444" w:type="dxa"/>
            <w:vAlign w:val="center"/>
          </w:tcPr>
          <w:p w14:paraId="2DF1BA7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y</w:t>
            </w:r>
          </w:p>
        </w:tc>
        <w:tc>
          <w:tcPr>
            <w:tcW w:w="739" w:type="dxa"/>
            <w:vAlign w:val="center"/>
          </w:tcPr>
          <w:p w14:paraId="2D8B0919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791" w:type="dxa"/>
            <w:gridSpan w:val="2"/>
            <w:vAlign w:val="center"/>
          </w:tcPr>
          <w:p w14:paraId="49E8E1D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6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6" r:id="rId9">
                  <o:LockedField>false</o:LockedField>
                </o:OLEObject>
              </w:object>
            </w:r>
          </w:p>
        </w:tc>
        <w:tc>
          <w:tcPr>
            <w:tcW w:w="802" w:type="dxa"/>
            <w:gridSpan w:val="2"/>
            <w:vAlign w:val="center"/>
          </w:tcPr>
          <w:p w14:paraId="062BF1A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7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7" r:id="rId11">
                  <o:LockedField>false</o:LockedField>
                </o:OLEObject>
              </w:object>
            </w:r>
          </w:p>
        </w:tc>
        <w:tc>
          <w:tcPr>
            <w:tcW w:w="803" w:type="dxa"/>
            <w:gridSpan w:val="2"/>
            <w:vAlign w:val="center"/>
          </w:tcPr>
          <w:p w14:paraId="5EE3897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8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3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5A1E3BC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9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9" r:id="rId15">
                  <o:LockedField>false</o:LockedField>
                </o:OLEObject>
              </w:object>
            </w:r>
          </w:p>
        </w:tc>
        <w:tc>
          <w:tcPr>
            <w:tcW w:w="804" w:type="dxa"/>
            <w:gridSpan w:val="2"/>
            <w:vAlign w:val="center"/>
          </w:tcPr>
          <w:p w14:paraId="54E72F8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0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8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17">
                  <o:LockedField>false</o:LockedField>
                </o:OLEObject>
              </w:object>
            </w:r>
          </w:p>
        </w:tc>
        <w:tc>
          <w:tcPr>
            <w:tcW w:w="799" w:type="dxa"/>
            <w:gridSpan w:val="2"/>
            <w:vAlign w:val="center"/>
          </w:tcPr>
          <w:p w14:paraId="44184FA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1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19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73B37C5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2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21">
                  <o:LockedField>false</o:LockedField>
                </o:OLEObject>
              </w:object>
            </w:r>
          </w:p>
        </w:tc>
        <w:tc>
          <w:tcPr>
            <w:tcW w:w="740" w:type="dxa"/>
            <w:vAlign w:val="center"/>
          </w:tcPr>
          <w:p w14:paraId="47B555C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193BB1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32" w:hRule="atLeast"/>
          <w:jc w:val="center"/>
        </w:trPr>
        <w:tc>
          <w:tcPr>
            <w:tcW w:w="1444" w:type="dxa"/>
            <w:vAlign w:val="center"/>
          </w:tcPr>
          <w:p w14:paraId="576059A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</w:t>
            </w:r>
          </w:p>
        </w:tc>
        <w:tc>
          <w:tcPr>
            <w:tcW w:w="739" w:type="dxa"/>
            <w:vAlign w:val="center"/>
          </w:tcPr>
          <w:p w14:paraId="265B68F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791" w:type="dxa"/>
            <w:gridSpan w:val="2"/>
            <w:vAlign w:val="center"/>
          </w:tcPr>
          <w:p w14:paraId="1BD62EF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3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3">
                  <o:LockedField>false</o:LockedField>
                </o:OLEObject>
              </w:object>
            </w:r>
          </w:p>
        </w:tc>
        <w:tc>
          <w:tcPr>
            <w:tcW w:w="802" w:type="dxa"/>
            <w:gridSpan w:val="2"/>
            <w:vAlign w:val="center"/>
          </w:tcPr>
          <w:p w14:paraId="02D4507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4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6" o:title=""/>
                  <o:lock v:ext="edit" aspectratio="t"/>
                  <w10:wrap type="none"/>
                  <w10:anchorlock/>
                </v:shape>
                <o:OLEObject Type="Embed" ProgID="Equation.3" ShapeID="_x0000_i1034" DrawAspect="Content" ObjectID="_1468075734" r:id="rId25">
                  <o:LockedField>false</o:LockedField>
                </o:OLEObject>
              </w:object>
            </w:r>
          </w:p>
        </w:tc>
        <w:tc>
          <w:tcPr>
            <w:tcW w:w="803" w:type="dxa"/>
            <w:gridSpan w:val="2"/>
            <w:vAlign w:val="center"/>
          </w:tcPr>
          <w:p w14:paraId="261E8D9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5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3" ShapeID="_x0000_i1035" DrawAspect="Content" ObjectID="_1468075735" r:id="rId27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7D2A967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6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0" o:title=""/>
                  <o:lock v:ext="edit" aspectratio="t"/>
                  <w10:wrap type="none"/>
                  <w10:anchorlock/>
                </v:shape>
                <o:OLEObject Type="Embed" ProgID="Equation.3" ShapeID="_x0000_i1036" DrawAspect="Content" ObjectID="_1468075736" r:id="rId29">
                  <o:LockedField>false</o:LockedField>
                </o:OLEObject>
              </w:object>
            </w:r>
          </w:p>
        </w:tc>
        <w:tc>
          <w:tcPr>
            <w:tcW w:w="804" w:type="dxa"/>
            <w:gridSpan w:val="2"/>
            <w:vAlign w:val="center"/>
          </w:tcPr>
          <w:p w14:paraId="65DB8EC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7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2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31">
                  <o:LockedField>false</o:LockedField>
                </o:OLEObject>
              </w:object>
            </w:r>
          </w:p>
        </w:tc>
        <w:tc>
          <w:tcPr>
            <w:tcW w:w="799" w:type="dxa"/>
            <w:gridSpan w:val="2"/>
            <w:vAlign w:val="center"/>
          </w:tcPr>
          <w:p w14:paraId="330134A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8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3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504D7B4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9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35">
                  <o:LockedField>false</o:LockedField>
                </o:OLEObject>
              </w:object>
            </w:r>
          </w:p>
        </w:tc>
        <w:tc>
          <w:tcPr>
            <w:tcW w:w="740" w:type="dxa"/>
            <w:vAlign w:val="center"/>
          </w:tcPr>
          <w:p w14:paraId="47801F4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7B6186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0" w:hRule="atLeast"/>
          <w:jc w:val="center"/>
        </w:trPr>
        <w:tc>
          <w:tcPr>
            <w:tcW w:w="1444" w:type="dxa"/>
            <w:vAlign w:val="center"/>
          </w:tcPr>
          <w:p w14:paraId="221F8C0A">
            <w:pPr>
              <w:ind w:left="-68" w:firstLine="76" w:firstLineChars="32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按折线分段的x</w:t>
            </w:r>
          </w:p>
        </w:tc>
        <w:tc>
          <w:tcPr>
            <w:tcW w:w="739" w:type="dxa"/>
            <w:vAlign w:val="center"/>
          </w:tcPr>
          <w:p w14:paraId="2F4C1B53">
            <w:pPr>
              <w:ind w:left="-37"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791" w:type="dxa"/>
            <w:gridSpan w:val="2"/>
            <w:vAlign w:val="center"/>
          </w:tcPr>
          <w:p w14:paraId="15C101C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0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3" ShapeID="_x0000_i1040" DrawAspect="Content" ObjectID="_1468075740" r:id="rId37">
                  <o:LockedField>false</o:LockedField>
                </o:OLEObject>
              </w:object>
            </w:r>
          </w:p>
        </w:tc>
        <w:tc>
          <w:tcPr>
            <w:tcW w:w="802" w:type="dxa"/>
            <w:gridSpan w:val="2"/>
            <w:vAlign w:val="center"/>
          </w:tcPr>
          <w:p w14:paraId="286D820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1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3" ShapeID="_x0000_i1041" DrawAspect="Content" ObjectID="_1468075741" r:id="rId38">
                  <o:LockedField>false</o:LockedField>
                </o:OLEObject>
              </w:object>
            </w:r>
          </w:p>
        </w:tc>
        <w:tc>
          <w:tcPr>
            <w:tcW w:w="803" w:type="dxa"/>
            <w:gridSpan w:val="2"/>
            <w:vAlign w:val="center"/>
          </w:tcPr>
          <w:p w14:paraId="0C22783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2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2" r:id="rId40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216A09B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3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3" ShapeID="_x0000_i1043" DrawAspect="Content" ObjectID="_1468075743" r:id="rId42">
                  <o:LockedField>false</o:LockedField>
                </o:OLEObject>
              </w:object>
            </w:r>
          </w:p>
        </w:tc>
        <w:tc>
          <w:tcPr>
            <w:tcW w:w="804" w:type="dxa"/>
            <w:gridSpan w:val="2"/>
            <w:vAlign w:val="center"/>
          </w:tcPr>
          <w:p w14:paraId="7C031BA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4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3" ShapeID="_x0000_i1044" DrawAspect="Content" ObjectID="_1468075744" r:id="rId44">
                  <o:LockedField>false</o:LockedField>
                </o:OLEObject>
              </w:object>
            </w:r>
          </w:p>
        </w:tc>
        <w:tc>
          <w:tcPr>
            <w:tcW w:w="799" w:type="dxa"/>
            <w:gridSpan w:val="2"/>
            <w:vAlign w:val="center"/>
          </w:tcPr>
          <w:p w14:paraId="1E499B2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5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3" ShapeID="_x0000_i1045" DrawAspect="Content" ObjectID="_1468075745" r:id="rId46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08D2292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6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3" ShapeID="_x0000_i1046" DrawAspect="Content" ObjectID="_1468075746" r:id="rId48">
                  <o:LockedField>false</o:LockedField>
                </o:OLEObject>
              </w:object>
            </w:r>
          </w:p>
        </w:tc>
        <w:tc>
          <w:tcPr>
            <w:tcW w:w="740" w:type="dxa"/>
            <w:vAlign w:val="center"/>
          </w:tcPr>
          <w:p w14:paraId="0182361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50B506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3" w:hRule="atLeast"/>
          <w:jc w:val="center"/>
        </w:trPr>
        <w:tc>
          <w:tcPr>
            <w:tcW w:w="1444" w:type="dxa"/>
            <w:vAlign w:val="center"/>
          </w:tcPr>
          <w:p w14:paraId="677EBD5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</w:t>
            </w:r>
          </w:p>
        </w:tc>
        <w:tc>
          <w:tcPr>
            <w:tcW w:w="1225" w:type="dxa"/>
            <w:gridSpan w:val="2"/>
            <w:vAlign w:val="center"/>
          </w:tcPr>
          <w:p w14:paraId="0431E8A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736" w:type="dxa"/>
            <w:gridSpan w:val="2"/>
            <w:vAlign w:val="center"/>
          </w:tcPr>
          <w:p w14:paraId="09B71DC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741" w:type="dxa"/>
            <w:gridSpan w:val="2"/>
            <w:vAlign w:val="center"/>
          </w:tcPr>
          <w:p w14:paraId="50FEC76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09" w:type="dxa"/>
            <w:gridSpan w:val="2"/>
            <w:vAlign w:val="center"/>
          </w:tcPr>
          <w:p w14:paraId="59342E9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822" w:type="dxa"/>
            <w:gridSpan w:val="2"/>
            <w:vAlign w:val="center"/>
          </w:tcPr>
          <w:p w14:paraId="41EBC92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779" w:type="dxa"/>
            <w:gridSpan w:val="2"/>
            <w:vAlign w:val="center"/>
          </w:tcPr>
          <w:p w14:paraId="0D906111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761" w:type="dxa"/>
            <w:gridSpan w:val="2"/>
            <w:vAlign w:val="center"/>
          </w:tcPr>
          <w:p w14:paraId="76E88DB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05" w:type="dxa"/>
            <w:gridSpan w:val="2"/>
            <w:vAlign w:val="center"/>
          </w:tcPr>
          <w:p w14:paraId="529246D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</w:tr>
      <w:tr w14:paraId="293D8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atLeast"/>
          <w:jc w:val="center"/>
        </w:trPr>
        <w:tc>
          <w:tcPr>
            <w:tcW w:w="1444" w:type="dxa"/>
            <w:vAlign w:val="center"/>
          </w:tcPr>
          <w:p w14:paraId="4BBC50D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斜率</w:t>
            </w:r>
          </w:p>
        </w:tc>
        <w:tc>
          <w:tcPr>
            <w:tcW w:w="1225" w:type="dxa"/>
            <w:gridSpan w:val="2"/>
            <w:vAlign w:val="center"/>
          </w:tcPr>
          <w:p w14:paraId="1275E7F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736" w:type="dxa"/>
            <w:gridSpan w:val="2"/>
            <w:vAlign w:val="center"/>
          </w:tcPr>
          <w:p w14:paraId="505036AF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741" w:type="dxa"/>
            <w:gridSpan w:val="2"/>
            <w:vAlign w:val="center"/>
          </w:tcPr>
          <w:p w14:paraId="304EB68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809" w:type="dxa"/>
            <w:gridSpan w:val="2"/>
            <w:vAlign w:val="center"/>
          </w:tcPr>
          <w:p w14:paraId="56BC786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822" w:type="dxa"/>
            <w:gridSpan w:val="2"/>
            <w:vAlign w:val="center"/>
          </w:tcPr>
          <w:p w14:paraId="17633BA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779" w:type="dxa"/>
            <w:gridSpan w:val="2"/>
            <w:vAlign w:val="center"/>
          </w:tcPr>
          <w:p w14:paraId="54F4D07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761" w:type="dxa"/>
            <w:gridSpan w:val="2"/>
            <w:vAlign w:val="center"/>
          </w:tcPr>
          <w:p w14:paraId="4EEE015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30"/>
                <w:szCs w:val="24"/>
              </w:rPr>
              <w:object>
                <v:shape id="_x0000_i1047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3" ShapeID="_x0000_i1047" DrawAspect="Content" ObjectID="_1468075747" r:id="rId50">
                  <o:LockedField>false</o:LockedField>
                </o:OLEObject>
              </w:object>
            </w:r>
          </w:p>
        </w:tc>
        <w:tc>
          <w:tcPr>
            <w:tcW w:w="1205" w:type="dxa"/>
            <w:gridSpan w:val="2"/>
            <w:vAlign w:val="center"/>
          </w:tcPr>
          <w:p w14:paraId="1BB5D1C7">
            <w:pPr>
              <w:ind w:left="-68" w:firstLine="480" w:firstLineChars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30"/>
                <w:szCs w:val="24"/>
              </w:rPr>
              <w:object>
                <v:shape id="_x0000_i1048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52">
                  <o:LockedField>false</o:LockedField>
                </o:OLEObject>
              </w:object>
            </w:r>
          </w:p>
        </w:tc>
      </w:tr>
    </w:tbl>
    <w:p w14:paraId="384E5FDF">
      <w:pPr>
        <w:ind w:firstLine="480" w:firstLineChars="200"/>
      </w:pPr>
      <w:r>
        <w:rPr>
          <w:rFonts w:hint="eastAsia"/>
        </w:rPr>
        <w:t>表中第二行的x值是根据</w:t>
      </w:r>
      <w:r>
        <w:t>A=87.6</w:t>
      </w:r>
      <w:r>
        <w:rPr>
          <w:rFonts w:hint="eastAsia"/>
        </w:rPr>
        <w:t>计算得到的，第三行的x值是13折线分段时的值。可见，13折线各段落的分界点与</w:t>
      </w:r>
      <w:r>
        <w:t>A=87.6</w:t>
      </w:r>
      <w:r>
        <w:rPr>
          <w:rFonts w:hint="eastAsia"/>
        </w:rPr>
        <w:t>曲线十分逼近，同时x按2的幂次分割有利于数字化。根据</w:t>
      </w:r>
      <w:r>
        <w:t>表中第三行，按折线分段，可以看出</w:t>
      </w:r>
      <w:r>
        <w:rPr>
          <w:rFonts w:hint="eastAsia"/>
        </w:rPr>
        <w:t>x</w:t>
      </w:r>
      <w:r>
        <w:t>正半轴第一段和第二段的斜率相同</w:t>
      </w:r>
      <w:r>
        <w:rPr>
          <w:rFonts w:hint="eastAsia"/>
        </w:rPr>
        <w:t>，x</w:t>
      </w:r>
      <w:r>
        <w:t>负半轴与其</w:t>
      </w:r>
      <w:r>
        <w:rPr>
          <w:rFonts w:hint="eastAsia"/>
        </w:rPr>
        <w:t>关于</w:t>
      </w:r>
      <w:r>
        <w:t>原点对称，则正负半轴共</w:t>
      </w:r>
      <w:r>
        <w:rPr>
          <w:rFonts w:hint="eastAsia"/>
        </w:rPr>
        <w:t>16段</w:t>
      </w:r>
      <w:r>
        <w:t>折线的中间</w:t>
      </w:r>
      <w:r>
        <w:rPr>
          <w:rFonts w:hint="eastAsia"/>
        </w:rPr>
        <w:t>4段</w:t>
      </w:r>
      <w:r>
        <w:t>是同一斜率，即中间</w:t>
      </w:r>
      <w:r>
        <w:rPr>
          <w:rFonts w:hint="eastAsia"/>
        </w:rPr>
        <w:t>4段</w:t>
      </w:r>
      <w:r>
        <w:t>可以看成</w:t>
      </w:r>
      <w:r>
        <w:rPr>
          <w:rFonts w:hint="eastAsia"/>
        </w:rPr>
        <w:t>1段</w:t>
      </w:r>
      <w:r>
        <w:t>，因此是</w:t>
      </w:r>
      <w:r>
        <w:rPr>
          <w:rFonts w:hint="eastAsia"/>
        </w:rPr>
        <w:t>13段</w:t>
      </w:r>
      <w:r>
        <w:t>折线。</w:t>
      </w:r>
    </w:p>
    <w:p w14:paraId="31C0D258">
      <w:pPr>
        <w:rPr>
          <w:b/>
        </w:rPr>
      </w:pPr>
      <w:r>
        <w:rPr>
          <w:rFonts w:hint="eastAsia"/>
          <w:b/>
        </w:rPr>
        <w:t>2、脉冲编码调制的基本原理</w:t>
      </w:r>
    </w:p>
    <w:p w14:paraId="4D5235C3">
      <w:pPr>
        <w:ind w:firstLine="480" w:firstLineChars="200"/>
      </w:pPr>
      <w:r>
        <w:rPr>
          <w:rFonts w:hint="eastAsia"/>
        </w:rPr>
        <w:t>通常把从模拟信号抽样、量化，直到变换成为二进制符号的基本过程，称为脉冲编码调制（Pulse Code Modulation，PCM）。</w:t>
      </w:r>
    </w:p>
    <w:p w14:paraId="65E551BB">
      <w:pPr>
        <w:ind w:firstLine="480" w:firstLineChars="200"/>
      </w:pPr>
      <w:r>
        <w:rPr>
          <w:rFonts w:hint="eastAsia"/>
        </w:rPr>
        <w:t>在13折线法中，无论输入信号是正是负，均用8位折叠二进制码来表示输入信号的抽样量化值。其中，用第一位表示量化值的极性，其余七位（第二位至第八位）则表示抽样量化值的绝对大小。具体的做法是：用第二至第四位表示段落码，它的8种可能状态来分别代表8个段落的起点电平。其它四位表示段内码，它的16种可能状态来分别代表每一段落的16个均匀划分的量化级。这样处理的结果，使8个段落被划分成</w:t>
      </w:r>
      <w:r>
        <w:rPr>
          <w:rFonts w:hint="eastAsia"/>
          <w:position w:val="-6"/>
        </w:rPr>
        <w:object>
          <v:shape id="_x0000_i1049" o:spt="75" type="#_x0000_t75" style="height:17pt;width:44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4">
            <o:LockedField>false</o:LockedField>
          </o:OLEObject>
        </w:object>
      </w:r>
      <w:r>
        <w:fldChar w:fldCharType="begin"/>
      </w:r>
      <w:r>
        <w:instrText xml:space="preserve"> QUOTE </w:instrTex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2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 xml:space="preserve">7</m:t>
            </m:r>
            <m:ctrlPr>
              <w:rPr>
                <w:rFonts w:ascii="Cambria Math" w:hAnsi="Cambria Math"/>
              </w:rPr>
            </m:ctrlPr>
          </m:sup>
        </m:sSup>
      </m:oMath>
      <w:r>
        <w:instrText xml:space="preserve">  \* MERGEFORMAT </w:instrText>
      </w:r>
      <w:r>
        <w:fldChar w:fldCharType="end"/>
      </w:r>
      <w:r>
        <w:rPr>
          <w:rFonts w:hint="eastAsia"/>
        </w:rPr>
        <w:t>个量化级。段落码和8个段落之间的关系如表所示，段内码与16个量化级之间的关系见下表。上述编码方法是把压缩、量化和编码合为一体的方法。</w:t>
      </w:r>
    </w:p>
    <w:p w14:paraId="297D4F3F">
      <w:pPr>
        <w:ind w:firstLine="1807" w:firstLineChars="750"/>
        <w:rPr>
          <w:rFonts w:hint="eastAsia" w:ascii="等线" w:hAnsi="等线"/>
          <w:szCs w:val="24"/>
        </w:rPr>
      </w:pPr>
      <w:r>
        <w:rPr>
          <w:rFonts w:hint="eastAsia" w:ascii="等线" w:hAnsi="等线"/>
          <w:b/>
          <w:szCs w:val="24"/>
        </w:rPr>
        <w:t>段落码</w:t>
      </w:r>
      <w:r>
        <w:rPr>
          <w:rFonts w:hint="eastAsia" w:ascii="等线" w:hAnsi="等线"/>
          <w:bCs/>
          <w:szCs w:val="24"/>
        </w:rPr>
        <w:t xml:space="preserve">  </w:t>
      </w:r>
      <w:r>
        <w:rPr>
          <w:rFonts w:hint="eastAsia" w:ascii="等线" w:hAnsi="等线"/>
          <w:b/>
          <w:bCs/>
          <w:szCs w:val="24"/>
        </w:rPr>
        <w:t xml:space="preserve">                   </w:t>
      </w:r>
      <w:r>
        <w:rPr>
          <w:rFonts w:hint="eastAsia" w:ascii="等线" w:hAnsi="等线"/>
          <w:b/>
          <w:bCs/>
          <w:szCs w:val="24"/>
        </w:rPr>
        <w:tab/>
      </w:r>
      <w:r>
        <w:rPr>
          <w:rFonts w:ascii="等线" w:hAnsi="等线"/>
          <w:b/>
          <w:bCs/>
          <w:szCs w:val="24"/>
        </w:rPr>
        <w:t xml:space="preserve">   </w:t>
      </w:r>
      <w:r>
        <w:rPr>
          <w:rFonts w:hint="eastAsia" w:ascii="等线" w:hAnsi="等线"/>
          <w:b/>
          <w:szCs w:val="24"/>
        </w:rPr>
        <w:t xml:space="preserve"> 段内码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097"/>
        <w:gridCol w:w="645"/>
        <w:gridCol w:w="1510"/>
        <w:gridCol w:w="2195"/>
      </w:tblGrid>
      <w:tr w14:paraId="0FFB2C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Align w:val="center"/>
          </w:tcPr>
          <w:p w14:paraId="4755F55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段落序号</w:t>
            </w:r>
          </w:p>
        </w:tc>
        <w:tc>
          <w:tcPr>
            <w:tcW w:w="2097" w:type="dxa"/>
            <w:vAlign w:val="center"/>
          </w:tcPr>
          <w:p w14:paraId="47B1A8BA">
            <w:pPr>
              <w:ind w:firstLine="20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段落码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2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3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4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645" w:type="dxa"/>
            <w:vMerge w:val="restart"/>
            <w:tcBorders>
              <w:top w:val="nil"/>
              <w:bottom w:val="nil"/>
            </w:tcBorders>
            <w:vAlign w:val="center"/>
          </w:tcPr>
          <w:p w14:paraId="05A2C22A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4FFF698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量化级</w:t>
            </w:r>
          </w:p>
        </w:tc>
        <w:tc>
          <w:tcPr>
            <w:tcW w:w="2195" w:type="dxa"/>
            <w:vAlign w:val="center"/>
          </w:tcPr>
          <w:p w14:paraId="1480103A">
            <w:pPr>
              <w:ind w:firstLine="20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段内码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5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6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7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8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5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7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8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</w:tr>
      <w:tr w14:paraId="374BD9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31EDDE1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097" w:type="dxa"/>
            <w:vMerge w:val="restart"/>
            <w:vAlign w:val="center"/>
          </w:tcPr>
          <w:p w14:paraId="0D6EBC4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C39BD0B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7E16333F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</w:t>
            </w:r>
          </w:p>
        </w:tc>
        <w:tc>
          <w:tcPr>
            <w:tcW w:w="2195" w:type="dxa"/>
            <w:vAlign w:val="center"/>
          </w:tcPr>
          <w:p w14:paraId="34B8F997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1111</w:t>
            </w:r>
          </w:p>
        </w:tc>
      </w:tr>
      <w:tr w14:paraId="57C633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" w:hRule="atLeast"/>
          <w:jc w:val="center"/>
        </w:trPr>
        <w:tc>
          <w:tcPr>
            <w:tcW w:w="1413" w:type="dxa"/>
            <w:vMerge w:val="continue"/>
            <w:vAlign w:val="center"/>
          </w:tcPr>
          <w:p w14:paraId="73E4779D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1ECDB9FF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55653E22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280D77A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14</w:t>
            </w:r>
          </w:p>
        </w:tc>
        <w:tc>
          <w:tcPr>
            <w:tcW w:w="2195" w:type="dxa"/>
            <w:vAlign w:val="center"/>
          </w:tcPr>
          <w:p w14:paraId="27B4A261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1110</w:t>
            </w:r>
          </w:p>
        </w:tc>
      </w:tr>
      <w:tr w14:paraId="09712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1413" w:type="dxa"/>
            <w:vMerge w:val="restart"/>
            <w:vAlign w:val="center"/>
          </w:tcPr>
          <w:p w14:paraId="69A3AB23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097" w:type="dxa"/>
            <w:vMerge w:val="restart"/>
            <w:vAlign w:val="center"/>
          </w:tcPr>
          <w:p w14:paraId="46E9421E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D9A6205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26AF53F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</w:t>
            </w:r>
          </w:p>
        </w:tc>
        <w:tc>
          <w:tcPr>
            <w:tcW w:w="2195" w:type="dxa"/>
            <w:vAlign w:val="center"/>
          </w:tcPr>
          <w:p w14:paraId="2F346E1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1101</w:t>
            </w:r>
          </w:p>
        </w:tc>
      </w:tr>
      <w:tr w14:paraId="6C04A7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5574590E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6B894B4B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0D1A7AF4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4BEB9C1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</w:t>
            </w:r>
          </w:p>
        </w:tc>
        <w:tc>
          <w:tcPr>
            <w:tcW w:w="2195" w:type="dxa"/>
            <w:vAlign w:val="center"/>
          </w:tcPr>
          <w:p w14:paraId="28D0C43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1100</w:t>
            </w:r>
          </w:p>
        </w:tc>
      </w:tr>
      <w:tr w14:paraId="63562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09A1AA69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097" w:type="dxa"/>
            <w:vMerge w:val="restart"/>
            <w:vAlign w:val="center"/>
          </w:tcPr>
          <w:p w14:paraId="1A133CB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F0CDF4A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tcBorders>
              <w:bottom w:val="single" w:color="auto" w:sz="4" w:space="0"/>
            </w:tcBorders>
            <w:vAlign w:val="center"/>
          </w:tcPr>
          <w:p w14:paraId="5BDF1D8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</w:t>
            </w:r>
          </w:p>
        </w:tc>
        <w:tc>
          <w:tcPr>
            <w:tcW w:w="2195" w:type="dxa"/>
            <w:vAlign w:val="center"/>
          </w:tcPr>
          <w:p w14:paraId="197CC9C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1011</w:t>
            </w:r>
          </w:p>
        </w:tc>
      </w:tr>
      <w:tr w14:paraId="4FA2BE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7C08C13F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76EA77D5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1C042097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6562FE3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2195" w:type="dxa"/>
            <w:vAlign w:val="center"/>
          </w:tcPr>
          <w:p w14:paraId="21BFA17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1010</w:t>
            </w:r>
          </w:p>
        </w:tc>
      </w:tr>
      <w:tr w14:paraId="7BE1A3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3166C407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097" w:type="dxa"/>
            <w:vMerge w:val="restart"/>
            <w:vAlign w:val="center"/>
          </w:tcPr>
          <w:p w14:paraId="4E7B07C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0E71358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1BDE08F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2195" w:type="dxa"/>
            <w:vAlign w:val="center"/>
          </w:tcPr>
          <w:p w14:paraId="30099D3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1001</w:t>
            </w:r>
          </w:p>
        </w:tc>
      </w:tr>
      <w:tr w14:paraId="0F6F4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1A3E88F0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6C1815A8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303D041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7459422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195" w:type="dxa"/>
            <w:vAlign w:val="center"/>
          </w:tcPr>
          <w:p w14:paraId="1F4AB0D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1000</w:t>
            </w:r>
          </w:p>
        </w:tc>
      </w:tr>
      <w:tr w14:paraId="3E0E7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3BC272D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097" w:type="dxa"/>
            <w:vMerge w:val="restart"/>
            <w:vAlign w:val="center"/>
          </w:tcPr>
          <w:p w14:paraId="2DBB69D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09D8DDAA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5FBC73D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195" w:type="dxa"/>
            <w:vAlign w:val="center"/>
          </w:tcPr>
          <w:p w14:paraId="5BB4B19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0111</w:t>
            </w:r>
          </w:p>
        </w:tc>
      </w:tr>
      <w:tr w14:paraId="7A95E6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4B246448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4E280DE0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1A91D8B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7FDF4F29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195" w:type="dxa"/>
            <w:vAlign w:val="center"/>
          </w:tcPr>
          <w:p w14:paraId="34ECC6D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0110</w:t>
            </w:r>
          </w:p>
        </w:tc>
      </w:tr>
      <w:tr w14:paraId="608D02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63BB6A8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097" w:type="dxa"/>
            <w:vMerge w:val="restart"/>
            <w:vAlign w:val="center"/>
          </w:tcPr>
          <w:p w14:paraId="27F2575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170D9B72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00111B0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195" w:type="dxa"/>
            <w:vAlign w:val="center"/>
          </w:tcPr>
          <w:p w14:paraId="2B47121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0101</w:t>
            </w:r>
          </w:p>
        </w:tc>
      </w:tr>
      <w:tr w14:paraId="23B54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1C9E0935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75D409CC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288C541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3404290E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95" w:type="dxa"/>
            <w:vAlign w:val="center"/>
          </w:tcPr>
          <w:p w14:paraId="1EA7BAC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0100</w:t>
            </w:r>
          </w:p>
        </w:tc>
      </w:tr>
      <w:tr w14:paraId="095194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7BDB277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097" w:type="dxa"/>
            <w:vMerge w:val="restart"/>
            <w:vAlign w:val="center"/>
          </w:tcPr>
          <w:p w14:paraId="2186BC5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48F4AFB9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6E061CA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95" w:type="dxa"/>
            <w:vAlign w:val="center"/>
          </w:tcPr>
          <w:p w14:paraId="7B871C3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0011</w:t>
            </w:r>
          </w:p>
        </w:tc>
      </w:tr>
      <w:tr w14:paraId="5C4DA0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19A91070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05E85323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3CCA0CE7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2E5DD3AF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95" w:type="dxa"/>
            <w:vAlign w:val="center"/>
          </w:tcPr>
          <w:p w14:paraId="608EAB47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0010</w:t>
            </w:r>
          </w:p>
        </w:tc>
      </w:tr>
      <w:tr w14:paraId="45CDBB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290B9E3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097" w:type="dxa"/>
            <w:vMerge w:val="restart"/>
            <w:vAlign w:val="center"/>
          </w:tcPr>
          <w:p w14:paraId="3DC066B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193134B4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0FBF960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195" w:type="dxa"/>
            <w:vAlign w:val="center"/>
          </w:tcPr>
          <w:p w14:paraId="43EBBD6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0001</w:t>
            </w:r>
          </w:p>
        </w:tc>
      </w:tr>
      <w:tr w14:paraId="67320E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tcBorders>
              <w:bottom w:val="single" w:color="auto" w:sz="4" w:space="0"/>
            </w:tcBorders>
            <w:vAlign w:val="center"/>
          </w:tcPr>
          <w:p w14:paraId="00A41DEE">
            <w:pPr>
              <w:ind w:firstLine="480" w:firstLineChars="200"/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tcBorders>
              <w:bottom w:val="single" w:color="auto" w:sz="4" w:space="0"/>
            </w:tcBorders>
            <w:vAlign w:val="center"/>
          </w:tcPr>
          <w:p w14:paraId="331CF267">
            <w:pPr>
              <w:ind w:firstLine="480" w:firstLineChars="200"/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88C2312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tcBorders>
              <w:bottom w:val="single" w:color="auto" w:sz="4" w:space="0"/>
            </w:tcBorders>
            <w:vAlign w:val="center"/>
          </w:tcPr>
          <w:p w14:paraId="332A641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195" w:type="dxa"/>
            <w:tcBorders>
              <w:bottom w:val="single" w:color="auto" w:sz="4" w:space="0"/>
            </w:tcBorders>
            <w:vAlign w:val="center"/>
          </w:tcPr>
          <w:p w14:paraId="7C4E697E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0000</w:t>
            </w:r>
          </w:p>
        </w:tc>
      </w:tr>
    </w:tbl>
    <w:p w14:paraId="065949F4">
      <w:pPr>
        <w:ind w:firstLine="480" w:firstLineChars="200"/>
      </w:pPr>
      <w:r>
        <w:rPr>
          <w:rFonts w:hint="eastAsia"/>
        </w:rPr>
        <w:t>为了</w:t>
      </w:r>
      <w:r>
        <w:t>确定样值的幅度所在的段落和</w:t>
      </w:r>
      <w:r>
        <w:rPr>
          <w:rFonts w:hint="eastAsia"/>
        </w:rPr>
        <w:t>量化级</w:t>
      </w:r>
      <w:r>
        <w:t>，必须知道每个段落的起始电平和各段内的量化间隔。在</w:t>
      </w:r>
      <w:r>
        <w:rPr>
          <w:rFonts w:hint="eastAsia"/>
        </w:rPr>
        <w:t>A率13折线</w:t>
      </w:r>
      <w:r>
        <w:t>中，由于各段的长度不同，因此各段内的量化间隔也不相同</w:t>
      </w:r>
      <w:r>
        <w:rPr>
          <w:rFonts w:hint="eastAsia"/>
        </w:rPr>
        <w:t>。</w:t>
      </w:r>
      <w:r>
        <w:t>第一段</w:t>
      </w:r>
      <w:r>
        <w:rPr>
          <w:rFonts w:hint="eastAsia"/>
        </w:rPr>
        <w:t>、</w:t>
      </w:r>
      <w:r>
        <w:t>第二段最短，只有归一化值的</w:t>
      </w:r>
      <w:r>
        <w:rPr>
          <w:rFonts w:hint="eastAsia"/>
        </w:rPr>
        <w:t>1/128，</w:t>
      </w:r>
      <w:r>
        <w:t>再将它等分</w:t>
      </w:r>
      <w:r>
        <w:rPr>
          <w:rFonts w:hint="eastAsia"/>
        </w:rPr>
        <w:t>16份</w:t>
      </w:r>
      <w:r>
        <w:t>，则每个量化级间隔为</w:t>
      </w:r>
      <w:r>
        <w:rPr>
          <w:rFonts w:hint="eastAsia"/>
        </w:rPr>
        <w:t>：</w:t>
      </w:r>
    </w:p>
    <w:p w14:paraId="2A76B88F">
      <w:pPr>
        <w:rPr>
          <w:rFonts w:hint="eastAsia" w:ascii="等线" w:hAnsi="等线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∆=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128</m:t>
              </m:r>
              <m:ctrlPr>
                <w:rPr>
                  <w:rFonts w:ascii="Cambria Math" w:hAnsi="Cambria Math"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16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2048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27931227">
      <w:pPr>
        <w:ind w:firstLine="480" w:firstLineChars="200"/>
      </w:pPr>
      <w:r>
        <w:rPr>
          <w:rFonts w:hint="eastAsia"/>
        </w:rPr>
        <w:t>式</w:t>
      </w:r>
      <w:r>
        <w:t>中</w:t>
      </w:r>
      <w:r>
        <w:rPr>
          <w:rFonts w:hint="eastAsia"/>
        </w:rPr>
        <w:t>：</w:t>
      </w:r>
      <w:r>
        <w:rPr>
          <w:rFonts w:hint="eastAsia"/>
          <w:position w:val="-4"/>
        </w:rPr>
        <w:object>
          <v:shape id="_x0000_i1050" o:spt="75" type="#_x0000_t75" style="height:13pt;width:11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6">
            <o:LockedField>false</o:LockedField>
          </o:OLEObject>
        </w:object>
      </w:r>
      <w:r>
        <w:rPr>
          <w:rFonts w:hint="eastAsia"/>
        </w:rPr>
        <w:t>表示最小的量化间隔，称为一个量化单位，它仅有输入信号归一化值的1/2048。</w:t>
      </w:r>
      <w:r>
        <w:t>第</w:t>
      </w:r>
      <w:r>
        <w:rPr>
          <w:rFonts w:hint="eastAsia"/>
        </w:rPr>
        <w:t>八</w:t>
      </w:r>
      <w:r>
        <w:t>段最长，</w:t>
      </w:r>
      <w:r>
        <w:rPr>
          <w:rFonts w:hint="eastAsia"/>
        </w:rPr>
        <w:t>它</w:t>
      </w:r>
      <w:r>
        <w:t>的每个量化级间隔为</w:t>
      </w:r>
      <w:r>
        <w:rPr>
          <w:rFonts w:hint="eastAsia"/>
        </w:rPr>
        <w:t>：</w:t>
      </w:r>
    </w:p>
    <w:p w14:paraId="502C3197">
      <w:pPr>
        <w:ind w:firstLine="480" w:firstLineChars="200"/>
        <w:rPr>
          <w:rFonts w:hint="eastAsia" w:ascii="等线" w:hAnsi="等线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16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32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=64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∆</m:t>
          </m:r>
        </m:oMath>
      </m:oMathPara>
    </w:p>
    <w:p w14:paraId="4A775C60">
      <w:pPr>
        <w:ind w:firstLine="480" w:firstLineChars="200"/>
      </w:pPr>
      <w:r>
        <w:rPr>
          <w:rFonts w:hint="eastAsia"/>
        </w:rPr>
        <w:t>即第</w:t>
      </w:r>
      <w:r>
        <w:t>八段的</w:t>
      </w:r>
      <w:r>
        <w:rPr>
          <w:rFonts w:hint="eastAsia"/>
        </w:rPr>
        <w:t>量化级</w:t>
      </w:r>
      <w:r>
        <w:t>间隔</w:t>
      </w:r>
      <w:r>
        <w:rPr>
          <w:rFonts w:hint="eastAsia"/>
        </w:rPr>
        <w:t>包含64个</w:t>
      </w:r>
      <w:r>
        <w:t>最小量化间隔</w:t>
      </w:r>
      <w:r>
        <w:fldChar w:fldCharType="begin"/>
      </w:r>
      <w:r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 xml:space="preserve">∆</m:t>
        </m:r>
      </m:oMath>
      <w:r>
        <w:instrText xml:space="preserve"> </w:instrText>
      </w:r>
      <w:r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r>
        <w:fldChar w:fldCharType="end"/>
      </w:r>
      <w:r>
        <w:t>。</w:t>
      </w:r>
      <w:r>
        <w:rPr>
          <w:rFonts w:hint="eastAsia"/>
        </w:rPr>
        <w:t>各</w:t>
      </w:r>
      <w:r>
        <w:t>段的起始电平和各段内的量化间隔如下表所示。</w:t>
      </w:r>
    </w:p>
    <w:p w14:paraId="601FA5A4">
      <w:pPr>
        <w:jc w:val="center"/>
        <w:rPr>
          <w:rFonts w:hint="eastAsia" w:ascii="等线" w:hAnsi="等线"/>
          <w:b/>
          <w:szCs w:val="24"/>
        </w:rPr>
      </w:pPr>
      <w:r>
        <w:rPr>
          <w:rFonts w:hint="eastAsia" w:ascii="等线" w:hAnsi="等线"/>
          <w:b/>
          <w:szCs w:val="24"/>
        </w:rPr>
        <w:t>段落</w:t>
      </w:r>
      <w:r>
        <w:rPr>
          <w:rFonts w:ascii="等线" w:hAnsi="等线"/>
          <w:b/>
          <w:szCs w:val="24"/>
        </w:rPr>
        <w:t>起始电平和段内量化间隔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1474"/>
        <w:gridCol w:w="1701"/>
        <w:gridCol w:w="1843"/>
        <w:gridCol w:w="1780"/>
      </w:tblGrid>
      <w:tr w14:paraId="67D9C1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8" w:hRule="atLeast"/>
          <w:jc w:val="center"/>
        </w:trPr>
        <w:tc>
          <w:tcPr>
            <w:tcW w:w="1390" w:type="dxa"/>
          </w:tcPr>
          <w:p w14:paraId="39226B7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段落序号</w:t>
            </w:r>
          </w:p>
          <w:p w14:paraId="78812A0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I=1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</m:t>
              </m:r>
            </m:oMath>
            <w:r>
              <w:rPr>
                <w:rFonts w:cs="Times New Roman"/>
                <w:szCs w:val="24"/>
              </w:rPr>
              <w:fldChar w:fldCharType="end"/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474" w:type="dxa"/>
          </w:tcPr>
          <w:p w14:paraId="0E36A6D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段落码</w:t>
            </w:r>
          </w:p>
          <w:p w14:paraId="61AC2F0B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701" w:type="dxa"/>
          </w:tcPr>
          <w:p w14:paraId="2595B32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段落范围</w:t>
            </w:r>
          </w:p>
          <w:p w14:paraId="7B05D5A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（量化单位）</w:t>
            </w:r>
          </w:p>
        </w:tc>
        <w:tc>
          <w:tcPr>
            <w:tcW w:w="1843" w:type="dxa"/>
          </w:tcPr>
          <w:p w14:paraId="29E31BC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段落起始电平</w:t>
            </w:r>
          </w:p>
          <w:p w14:paraId="08AD512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（量化单位）</w:t>
            </w:r>
          </w:p>
        </w:tc>
        <w:tc>
          <w:tcPr>
            <w:tcW w:w="1780" w:type="dxa"/>
          </w:tcPr>
          <w:p w14:paraId="7C0FE17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段内量化间隔</w:t>
            </w:r>
          </w:p>
          <w:p w14:paraId="0848B1C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（量化单位）</w:t>
            </w:r>
          </w:p>
        </w:tc>
      </w:tr>
      <w:tr w14:paraId="2C2B1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7EC44B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474" w:type="dxa"/>
          </w:tcPr>
          <w:p w14:paraId="2E13F9C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1 1 1</w:t>
            </w:r>
          </w:p>
        </w:tc>
        <w:tc>
          <w:tcPr>
            <w:tcW w:w="1701" w:type="dxa"/>
          </w:tcPr>
          <w:p w14:paraId="4F61A84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1024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~2048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~2048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708157A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1024</w:t>
            </w:r>
          </w:p>
        </w:tc>
        <w:tc>
          <w:tcPr>
            <w:tcW w:w="1780" w:type="dxa"/>
          </w:tcPr>
          <w:p w14:paraId="2D0B78E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</w:t>
            </w:r>
          </w:p>
        </w:tc>
      </w:tr>
      <w:tr w14:paraId="1CC637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0C990B4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474" w:type="dxa"/>
          </w:tcPr>
          <w:p w14:paraId="6652096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1 1 0</w:t>
            </w:r>
          </w:p>
        </w:tc>
        <w:tc>
          <w:tcPr>
            <w:tcW w:w="1701" w:type="dxa"/>
          </w:tcPr>
          <w:p w14:paraId="743F2B6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512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~1024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~1024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3671D63B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512</w:t>
            </w:r>
          </w:p>
        </w:tc>
        <w:tc>
          <w:tcPr>
            <w:tcW w:w="1780" w:type="dxa"/>
          </w:tcPr>
          <w:p w14:paraId="483462F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32</w:t>
            </w:r>
          </w:p>
        </w:tc>
      </w:tr>
      <w:tr w14:paraId="37892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7B44C2C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474" w:type="dxa"/>
          </w:tcPr>
          <w:p w14:paraId="17F0B6B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1 0 1</w:t>
            </w:r>
          </w:p>
        </w:tc>
        <w:tc>
          <w:tcPr>
            <w:tcW w:w="1701" w:type="dxa"/>
          </w:tcPr>
          <w:p w14:paraId="089E585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256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~512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~512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3DAF842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256</w:t>
            </w:r>
          </w:p>
        </w:tc>
        <w:tc>
          <w:tcPr>
            <w:tcW w:w="1780" w:type="dxa"/>
          </w:tcPr>
          <w:p w14:paraId="116DACC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</w:tr>
      <w:tr w14:paraId="42F29E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2BA989B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474" w:type="dxa"/>
          </w:tcPr>
          <w:p w14:paraId="6B7D3BE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1 0 0 </w:t>
            </w:r>
          </w:p>
        </w:tc>
        <w:tc>
          <w:tcPr>
            <w:tcW w:w="1701" w:type="dxa"/>
          </w:tcPr>
          <w:p w14:paraId="3E6F5B8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128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~256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~256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5117A28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128</w:t>
            </w:r>
          </w:p>
        </w:tc>
        <w:tc>
          <w:tcPr>
            <w:tcW w:w="1780" w:type="dxa"/>
          </w:tcPr>
          <w:p w14:paraId="12C24C3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</w:tr>
      <w:tr w14:paraId="2774D4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70B8F5B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474" w:type="dxa"/>
          </w:tcPr>
          <w:p w14:paraId="02B64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0 1 1</w:t>
            </w:r>
          </w:p>
        </w:tc>
        <w:tc>
          <w:tcPr>
            <w:tcW w:w="1701" w:type="dxa"/>
          </w:tcPr>
          <w:p w14:paraId="26D3D53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~128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~128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27A68E3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</w:t>
            </w:r>
          </w:p>
        </w:tc>
        <w:tc>
          <w:tcPr>
            <w:tcW w:w="1780" w:type="dxa"/>
          </w:tcPr>
          <w:p w14:paraId="3BAAED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14:paraId="037E7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4804B94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474" w:type="dxa"/>
          </w:tcPr>
          <w:p w14:paraId="78448E1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0 1 0</w:t>
            </w:r>
          </w:p>
        </w:tc>
        <w:tc>
          <w:tcPr>
            <w:tcW w:w="1701" w:type="dxa"/>
          </w:tcPr>
          <w:p w14:paraId="790B01A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32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~64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~64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364A8D9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32</w:t>
            </w:r>
          </w:p>
        </w:tc>
        <w:tc>
          <w:tcPr>
            <w:tcW w:w="1780" w:type="dxa"/>
          </w:tcPr>
          <w:p w14:paraId="652625A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</w:tr>
      <w:tr w14:paraId="06782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62FCCF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474" w:type="dxa"/>
          </w:tcPr>
          <w:p w14:paraId="12D5CDA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0 0 1</w:t>
            </w:r>
          </w:p>
        </w:tc>
        <w:tc>
          <w:tcPr>
            <w:tcW w:w="1701" w:type="dxa"/>
          </w:tcPr>
          <w:p w14:paraId="2F3E8D6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~32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~32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0DC3822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1780" w:type="dxa"/>
          </w:tcPr>
          <w:p w14:paraId="20660FC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3A7C7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  <w:jc w:val="center"/>
        </w:trPr>
        <w:tc>
          <w:tcPr>
            <w:tcW w:w="1390" w:type="dxa"/>
          </w:tcPr>
          <w:p w14:paraId="49DC06B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474" w:type="dxa"/>
          </w:tcPr>
          <w:p w14:paraId="18F95D3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0 0 0 </w:t>
            </w:r>
          </w:p>
        </w:tc>
        <w:tc>
          <w:tcPr>
            <w:tcW w:w="1701" w:type="dxa"/>
          </w:tcPr>
          <w:p w14:paraId="3179C13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~16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~16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26F5A08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780" w:type="dxa"/>
          </w:tcPr>
          <w:p w14:paraId="381C8DE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</w:tbl>
    <w:p w14:paraId="5466526D">
      <w:pPr>
        <w:pStyle w:val="3"/>
      </w:pPr>
      <w:r>
        <w:t>五</w:t>
      </w:r>
      <w:r>
        <w:rPr>
          <w:rFonts w:hint="eastAsia"/>
        </w:rPr>
        <w:t>、</w:t>
      </w:r>
      <w:r>
        <w:t>实验步骤</w:t>
      </w:r>
    </w:p>
    <w:p w14:paraId="747504E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1、实验准备</w:t>
      </w:r>
    </w:p>
    <w:p w14:paraId="4849DB93">
      <w:pPr>
        <w:rPr>
          <w:rFonts w:cs="Times New Roman"/>
          <w:b/>
        </w:rPr>
      </w:pPr>
      <w:r>
        <w:rPr>
          <w:rFonts w:cs="Times New Roman"/>
          <w:b/>
        </w:rPr>
        <w:t>（1）硬件环境准备</w:t>
      </w:r>
    </w:p>
    <w:p w14:paraId="54795F28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将XSRP软件无线电创新平台连接电源线（在机箱的背部）、天线（4根白色天线，在机箱的前端）、USB转串口线（在机箱的背部）或方口USB线（在机箱的背部）和网线（确保连接的电脑是千兆网卡）。</w:t>
      </w:r>
    </w:p>
    <w:p w14:paraId="4F4469AE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如果配备了示波器，则XSRP软件无线电创新平台的三根BNC线（在机箱背部）对应连接到示波器的CH1、CH2和EXT（请注意一一对应）。</w:t>
      </w:r>
    </w:p>
    <w:p w14:paraId="0E97247C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打开XSRP软件无线电创新平台电源开关POWER，对应电源指示灯亮，且信号指示灯交替闪烁，表明设备工作正常。</w:t>
      </w:r>
    </w:p>
    <w:p w14:paraId="575F6E94">
      <w:pPr>
        <w:rPr>
          <w:rFonts w:cs="Times New Roman"/>
          <w:b/>
        </w:rPr>
      </w:pPr>
      <w:r>
        <w:rPr>
          <w:rFonts w:cs="Times New Roman"/>
          <w:b/>
        </w:rPr>
        <w:t>（2）软件环境准备</w:t>
      </w:r>
    </w:p>
    <w:p w14:paraId="03221330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安装USB转串口驱动程序，一般情况下在设备提供的资料中，有CH340和PL2303的驱动程序，可以根据对应USB转串口线的型号来选择安装。Win8以上操作系统连接了网络以后会自动更新驱动程序，Win7及以下需要手动安装。</w:t>
      </w:r>
    </w:p>
    <w:p w14:paraId="4D46CFBC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如果使用的是USB转串口线，则需要查看驱动程序安装是否成功，方法如下：打开电脑的“设备管理器”，查看“端口（COM和LPT）”下面是否有新增的COM端口（除COM1以外），如果没有，则表明驱动程序没有安装成功，需重新安装，直至端口（COM和LPT）下有新增端口。</w:t>
      </w:r>
    </w:p>
    <w:p w14:paraId="309C3B16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双击打开XSRP软件无线电创新平台的集成开发软件，启动后会提示硬件加载的过程，如果都显示“Successful”，如下图2所示，则表明设备通信正常。</w:t>
      </w:r>
    </w:p>
    <w:p w14:paraId="74939906"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3402965" cy="26555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79CF"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图2 硬件加载过程</w:t>
      </w:r>
    </w:p>
    <w:p w14:paraId="25E7D324">
      <w:pPr>
        <w:rPr>
          <w:rFonts w:cs="Times New Roman"/>
        </w:rPr>
      </w:pPr>
      <w:r>
        <w:rPr>
          <w:rFonts w:cs="Times New Roman"/>
        </w:rPr>
        <w:t>软件启动后，观察右上角，如果“ARM状态”和“FPGA状态”都亮绿色指示灯</w:t>
      </w:r>
      <w:r>
        <w:drawing>
          <wp:inline distT="0" distB="0" distL="0" distR="0">
            <wp:extent cx="1828800" cy="381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>，则表明硬件和软件都正常，只有一个指示灯亮或者两个都不亮，则表明设备工作不正常，需要排除问题后再做实验。</w:t>
      </w:r>
    </w:p>
    <w:p w14:paraId="499BD6DB">
      <w:pPr>
        <w:rPr>
          <w:b/>
        </w:rPr>
      </w:pPr>
      <w:r>
        <w:rPr>
          <w:rFonts w:hint="eastAsia"/>
          <w:b/>
        </w:rPr>
        <w:t>2、观测并记录不同配置参数下软件仿真波形和示波器实测波形</w:t>
      </w:r>
    </w:p>
    <w:p w14:paraId="7A8E7409">
      <w:pPr>
        <w:rPr>
          <w:b/>
        </w:rPr>
      </w:pPr>
      <w:r>
        <w:rPr>
          <w:rFonts w:hint="eastAsia"/>
          <w:b/>
        </w:rPr>
        <w:t>（1）信号幅度为10，量化器动态范围U</w:t>
      </w:r>
      <w:r>
        <w:rPr>
          <w:b/>
        </w:rPr>
        <w:t>n</w:t>
      </w:r>
      <w:r>
        <w:rPr>
          <w:rFonts w:hint="eastAsia"/>
          <w:b/>
        </w:rPr>
        <w:t>为1</w:t>
      </w:r>
      <w:r>
        <w:rPr>
          <w:b/>
        </w:rPr>
        <w:t>0</w:t>
      </w:r>
      <w:r>
        <w:rPr>
          <w:rFonts w:hint="eastAsia"/>
          <w:b/>
        </w:rPr>
        <w:t>，信号频率为</w:t>
      </w:r>
      <w:r>
        <w:rPr>
          <w:b/>
        </w:rPr>
        <w:t>10</w:t>
      </w:r>
      <w:r>
        <w:rPr>
          <w:rFonts w:hint="eastAsia"/>
          <w:b/>
        </w:rPr>
        <w:t>Hz，信号初始相位为0，抽样频率为2</w:t>
      </w:r>
      <w:r>
        <w:rPr>
          <w:b/>
        </w:rPr>
        <w:t>0</w:t>
      </w:r>
      <w:r>
        <w:rPr>
          <w:rFonts w:hint="eastAsia"/>
          <w:b/>
        </w:rPr>
        <w:t>0Hz的情况下，观测并记录软件仿真波形和示波器实测波形，相关波形填写到“六、实验记录”中。</w:t>
      </w:r>
    </w:p>
    <w:p w14:paraId="46066D5D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 xml:space="preserve">Step1 </w:t>
      </w:r>
      <w:r>
        <w:rPr>
          <w:rFonts w:hint="eastAsia" w:cs="Times New Roman"/>
          <w:b/>
        </w:rPr>
        <w:t>以管理员身份（C盘写入需要权限）</w:t>
      </w:r>
      <w:r>
        <w:rPr>
          <w:rFonts w:cs="Times New Roman"/>
        </w:rPr>
        <w:t>打开XSRP软件无线电创新平台的集成开发软件，</w:t>
      </w:r>
      <w:r>
        <w:rPr>
          <w:rFonts w:hint="eastAsia" w:cs="Times New Roman"/>
        </w:rPr>
        <w:t>在左侧目录树中找到“</w:t>
      </w:r>
      <w:r>
        <w:rPr>
          <w:rFonts w:cs="Times New Roman"/>
        </w:rPr>
        <w:t>1</w:t>
      </w:r>
      <w:r>
        <w:rPr>
          <w:rFonts w:hint="eastAsia" w:cs="Times New Roman"/>
        </w:rPr>
        <w:t xml:space="preserve"> 通信原理”，选择“</w:t>
      </w:r>
      <w:r>
        <w:rPr>
          <w:rFonts w:cs="Times New Roman"/>
        </w:rPr>
        <w:t>1</w:t>
      </w:r>
      <w:r>
        <w:rPr>
          <w:rFonts w:hint="eastAsia" w:cs="Times New Roman"/>
        </w:rPr>
        <w:t>.</w:t>
      </w:r>
      <w:r>
        <w:rPr>
          <w:rFonts w:cs="Times New Roman"/>
        </w:rPr>
        <w:t>3.3 非</w:t>
      </w:r>
      <w:r>
        <w:rPr>
          <w:rFonts w:hint="eastAsia" w:cs="Times New Roman"/>
        </w:rPr>
        <w:t>均匀量化P</w:t>
      </w:r>
      <w:r>
        <w:rPr>
          <w:rFonts w:cs="Times New Roman"/>
        </w:rPr>
        <w:t>CM编译码</w:t>
      </w:r>
      <w:r>
        <w:rPr>
          <w:rFonts w:hint="eastAsia" w:cs="Times New Roman"/>
        </w:rPr>
        <w:t>实验”，双击打开实验界面，如图</w:t>
      </w:r>
      <w:r>
        <w:rPr>
          <w:rFonts w:cs="Times New Roman"/>
        </w:rPr>
        <w:t>3</w:t>
      </w:r>
      <w:r>
        <w:rPr>
          <w:rFonts w:hint="eastAsia" w:cs="Times New Roman"/>
        </w:rPr>
        <w:t>所示。</w:t>
      </w:r>
    </w:p>
    <w:p w14:paraId="7F9E586E">
      <w:pPr>
        <w:rPr>
          <w:rFonts w:cs="Times New Roman"/>
        </w:rPr>
      </w:pPr>
      <w:r>
        <w:drawing>
          <wp:inline distT="0" distB="0" distL="114300" distR="114300">
            <wp:extent cx="5937250" cy="2965450"/>
            <wp:effectExtent l="0" t="0" r="6350" b="6350"/>
            <wp:docPr id="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7762">
      <w:pPr>
        <w:jc w:val="center"/>
      </w:pPr>
      <w:r>
        <w:t>图3 实验主界面</w:t>
      </w:r>
    </w:p>
    <w:p w14:paraId="17F7DB85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>Step2</w:t>
      </w:r>
      <w:r>
        <w:rPr>
          <w:rFonts w:cs="Times New Roman"/>
        </w:rPr>
        <w:t xml:space="preserve"> 配置实验参数</w:t>
      </w:r>
    </w:p>
    <w:p w14:paraId="1AAD4CF8">
      <w:pPr>
        <w:ind w:firstLine="480" w:firstLineChars="200"/>
        <w:rPr>
          <w:rFonts w:cs="Times New Roman"/>
        </w:rPr>
      </w:pPr>
      <w:r>
        <w:rPr>
          <w:rFonts w:hint="eastAsia" w:cs="Times New Roman"/>
        </w:rPr>
        <w:t>信号幅度为1</w:t>
      </w:r>
      <w:r>
        <w:rPr>
          <w:rFonts w:cs="Times New Roman"/>
        </w:rPr>
        <w:t>0</w:t>
      </w:r>
      <w:r>
        <w:rPr>
          <w:rFonts w:hint="eastAsia" w:cs="Times New Roman"/>
        </w:rPr>
        <w:t>，量化器动态范围U</w:t>
      </w:r>
      <w:r>
        <w:rPr>
          <w:rFonts w:cs="Times New Roman"/>
        </w:rPr>
        <w:t>n</w:t>
      </w:r>
      <w:r>
        <w:rPr>
          <w:rFonts w:hint="eastAsia" w:cs="Times New Roman"/>
        </w:rPr>
        <w:t>为1</w:t>
      </w:r>
      <w:r>
        <w:rPr>
          <w:rFonts w:cs="Times New Roman"/>
        </w:rPr>
        <w:t>0</w:t>
      </w:r>
      <w:r>
        <w:rPr>
          <w:rFonts w:hint="eastAsia" w:cs="Times New Roman"/>
        </w:rPr>
        <w:t>，</w:t>
      </w:r>
      <w:r>
        <w:rPr>
          <w:rFonts w:cs="Times New Roman"/>
        </w:rPr>
        <w:t>信号频率为10Hz</w:t>
      </w:r>
      <w:r>
        <w:rPr>
          <w:rFonts w:hint="eastAsia" w:cs="Times New Roman"/>
        </w:rPr>
        <w:t>，信号初始相位为0，</w:t>
      </w:r>
      <w:r>
        <w:rPr>
          <w:rFonts w:cs="Times New Roman"/>
        </w:rPr>
        <w:t>抽样频率为</w:t>
      </w:r>
      <w:r>
        <w:rPr>
          <w:rFonts w:hint="eastAsia" w:cs="Times New Roman"/>
        </w:rPr>
        <w:t>2</w:t>
      </w:r>
      <w:r>
        <w:rPr>
          <w:rFonts w:cs="Times New Roman"/>
        </w:rPr>
        <w:t>00Hz</w:t>
      </w:r>
      <w:r>
        <w:rPr>
          <w:rFonts w:hint="eastAsia" w:cs="Times New Roman"/>
        </w:rPr>
        <w:t>，</w:t>
      </w:r>
      <w:r>
        <w:rPr>
          <w:rFonts w:cs="Times New Roman"/>
        </w:rPr>
        <w:t>DA</w:t>
      </w:r>
      <w:r>
        <w:rPr>
          <w:rFonts w:hint="eastAsia" w:cs="Times New Roman"/>
        </w:rPr>
        <w:t>输出配置为不输出，</w:t>
      </w:r>
      <w:r>
        <w:rPr>
          <w:rFonts w:cs="Times New Roman"/>
        </w:rPr>
        <w:t>当前模式配置为</w:t>
      </w:r>
      <w:r>
        <w:rPr>
          <w:rFonts w:hint="eastAsia" w:cs="Times New Roman"/>
        </w:rPr>
        <w:t>“</w:t>
      </w:r>
      <w:r>
        <w:rPr>
          <w:rFonts w:cs="Times New Roman"/>
        </w:rPr>
        <w:t>原理讲演模式</w:t>
      </w:r>
      <w:r>
        <w:rPr>
          <w:rFonts w:hint="eastAsia" w:cs="Times New Roman"/>
        </w:rPr>
        <w:t>”</w:t>
      </w:r>
      <w:r>
        <w:rPr>
          <w:rFonts w:cs="Times New Roman"/>
        </w:rPr>
        <w:t>，如下图4所示。</w:t>
      </w:r>
    </w:p>
    <w:p w14:paraId="056E7CCC">
      <w:pPr>
        <w:rPr>
          <w:rFonts w:cs="Times New Roman"/>
        </w:rPr>
      </w:pPr>
      <w:r>
        <w:drawing>
          <wp:inline distT="0" distB="0" distL="114300" distR="114300">
            <wp:extent cx="5925820" cy="456565"/>
            <wp:effectExtent l="0" t="0" r="17780" b="635"/>
            <wp:docPr id="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4226">
      <w:pPr>
        <w:jc w:val="center"/>
        <w:rPr>
          <w:rFonts w:cs="Times New Roman"/>
        </w:rPr>
      </w:pPr>
      <w:r>
        <w:rPr>
          <w:rFonts w:cs="Times New Roman"/>
        </w:rPr>
        <w:t>图4 配置实验参数</w:t>
      </w:r>
    </w:p>
    <w:p w14:paraId="3D1493CE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 xml:space="preserve">Step3 </w:t>
      </w:r>
      <w:r>
        <w:rPr>
          <w:rFonts w:cs="Times New Roman"/>
        </w:rPr>
        <w:t>观察并记录软件仿真波形</w:t>
      </w:r>
      <w:r>
        <w:rPr>
          <w:rFonts w:hint="eastAsia" w:cs="Times New Roman"/>
        </w:rPr>
        <w:t>和示波器实测波形</w:t>
      </w:r>
    </w:p>
    <w:p w14:paraId="5977242B">
      <w:pPr>
        <w:ind w:firstLine="480" w:firstLineChars="200"/>
        <w:rPr>
          <w:rFonts w:cs="Times New Roman"/>
        </w:rPr>
      </w:pPr>
      <w:r>
        <w:rPr>
          <w:rFonts w:hint="eastAsia"/>
        </w:rPr>
        <w:t>（1）</w:t>
      </w:r>
      <w:r>
        <w:rPr>
          <w:rFonts w:cs="Times New Roman"/>
        </w:rPr>
        <w:t>点击</w:t>
      </w:r>
      <w:r>
        <w:rPr>
          <w:rFonts w:hint="eastAsia" w:cs="Times New Roman"/>
        </w:rPr>
        <w:t>“</w:t>
      </w:r>
      <w:r>
        <w:rPr>
          <w:rFonts w:cs="Times New Roman"/>
        </w:rPr>
        <w:t>开始运行</w:t>
      </w:r>
      <w:r>
        <w:rPr>
          <w:rFonts w:hint="eastAsia" w:cs="Times New Roman"/>
        </w:rPr>
        <w:t>”</w:t>
      </w:r>
      <w:r>
        <w:rPr>
          <w:rFonts w:cs="Times New Roman"/>
        </w:rPr>
        <w:t>按钮，</w:t>
      </w:r>
      <w:r>
        <w:rPr>
          <w:rFonts w:hint="eastAsia" w:cs="Times New Roman"/>
        </w:rPr>
        <w:t>可以同时得到数据源、抽样脉冲、抽样后数据、归一化数据、压缩后数据/</w:t>
      </w:r>
      <w:r>
        <w:rPr>
          <w:rFonts w:cs="Times New Roman"/>
        </w:rPr>
        <w:t>13</w:t>
      </w:r>
      <w:r>
        <w:rPr>
          <w:rFonts w:hint="eastAsia" w:cs="Times New Roman"/>
        </w:rPr>
        <w:t>折线压缩特性、P</w:t>
      </w:r>
      <w:r>
        <w:rPr>
          <w:rFonts w:cs="Times New Roman"/>
        </w:rPr>
        <w:t>CM</w:t>
      </w:r>
      <w:r>
        <w:rPr>
          <w:rFonts w:hint="eastAsia" w:cs="Times New Roman"/>
        </w:rPr>
        <w:t>编码后数据、P</w:t>
      </w:r>
      <w:r>
        <w:rPr>
          <w:rFonts w:cs="Times New Roman"/>
        </w:rPr>
        <w:t>CM</w:t>
      </w:r>
      <w:r>
        <w:rPr>
          <w:rFonts w:hint="eastAsia" w:cs="Times New Roman"/>
        </w:rPr>
        <w:t>译码后数据，译码后去归一化数据，低通滤波后数据共9幅相应的仿真图，以及量噪比、抽样后数据、归一化数据、极性码、段落序号、量化级序号、P</w:t>
      </w:r>
      <w:r>
        <w:rPr>
          <w:rFonts w:cs="Times New Roman"/>
        </w:rPr>
        <w:t>CM编码</w:t>
      </w:r>
      <w:r>
        <w:rPr>
          <w:rFonts w:hint="eastAsia" w:cs="Times New Roman"/>
        </w:rPr>
        <w:t>、译码后数据共8个输出显示框中显示出相应的数据。将软件仿真结果和分析结果记录在“六、实验记录”中“1、不同配置参数下软件仿真波形和示波器实测波形”对应的位置。</w:t>
      </w:r>
    </w:p>
    <w:p w14:paraId="4AB379C2">
      <w:pPr>
        <w:ind w:firstLine="48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）在DA输出处选择输出</w:t>
      </w:r>
      <w:r>
        <w:drawing>
          <wp:inline distT="0" distB="0" distL="0" distR="0">
            <wp:extent cx="1056640" cy="6851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，示波器CH1输出抽样后数据对应的波形，CH2输出量化后数据对应的波形，观察示波器的实测波形。</w:t>
      </w:r>
      <w:r>
        <w:rPr>
          <w:rFonts w:hint="eastAsia" w:cs="Times New Roman"/>
        </w:rPr>
        <w:t>将示波器显示的实测波形记录在</w:t>
      </w:r>
      <w:r>
        <w:rPr>
          <w:rFonts w:hint="eastAsia"/>
        </w:rPr>
        <w:t>“六、实验记录”中“1、</w:t>
      </w:r>
      <w:r>
        <w:rPr>
          <w:rFonts w:hint="eastAsia" w:cs="Times New Roman"/>
        </w:rPr>
        <w:t>不同配置参数下软件仿真波形和示波器实测波形</w:t>
      </w:r>
      <w:r>
        <w:rPr>
          <w:rFonts w:hint="eastAsia"/>
        </w:rPr>
        <w:t>”对应的位置。</w:t>
      </w:r>
    </w:p>
    <w:p w14:paraId="6252F625">
      <w:pPr>
        <w:rPr>
          <w:b/>
        </w:rPr>
      </w:pPr>
      <w:r>
        <w:rPr>
          <w:rFonts w:hint="eastAsia"/>
          <w:b/>
        </w:rPr>
        <w:t>（</w:t>
      </w:r>
      <w:r>
        <w:rPr>
          <w:b/>
        </w:rPr>
        <w:t>2</w:t>
      </w:r>
      <w:r>
        <w:rPr>
          <w:rFonts w:hint="eastAsia"/>
          <w:b/>
        </w:rPr>
        <w:t>）信号幅度为10，量化器动态范围U</w:t>
      </w:r>
      <w:r>
        <w:rPr>
          <w:b/>
        </w:rPr>
        <w:t>n</w:t>
      </w:r>
      <w:r>
        <w:rPr>
          <w:rFonts w:hint="eastAsia"/>
          <w:b/>
        </w:rPr>
        <w:t>为1</w:t>
      </w:r>
      <w:r>
        <w:rPr>
          <w:b/>
        </w:rPr>
        <w:t>0</w:t>
      </w:r>
      <w:r>
        <w:rPr>
          <w:rFonts w:hint="eastAsia"/>
          <w:b/>
        </w:rPr>
        <w:t>，信号频率为</w:t>
      </w:r>
      <w:r>
        <w:rPr>
          <w:b/>
        </w:rPr>
        <w:t>10</w:t>
      </w:r>
      <w:r>
        <w:rPr>
          <w:rFonts w:hint="eastAsia"/>
          <w:b/>
        </w:rPr>
        <w:t>Hz，信号初始相位为90，抽样频率为</w:t>
      </w:r>
      <w:r>
        <w:rPr>
          <w:b/>
        </w:rPr>
        <w:t>50</w:t>
      </w:r>
      <w:r>
        <w:rPr>
          <w:rFonts w:hint="eastAsia"/>
          <w:b/>
        </w:rPr>
        <w:t>0Hz的情况下，观察软件仿真波形。</w:t>
      </w:r>
    </w:p>
    <w:p w14:paraId="23B9CE26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>Step1</w:t>
      </w:r>
      <w:r>
        <w:rPr>
          <w:rFonts w:cs="Times New Roman"/>
        </w:rPr>
        <w:t xml:space="preserve"> 配置实验参数</w:t>
      </w:r>
    </w:p>
    <w:p w14:paraId="2A264014">
      <w:pPr>
        <w:ind w:firstLine="480" w:firstLineChars="200"/>
        <w:rPr>
          <w:rFonts w:cs="Times New Roman"/>
        </w:rPr>
      </w:pPr>
      <w:r>
        <w:rPr>
          <w:rFonts w:hint="eastAsia" w:cs="Times New Roman"/>
        </w:rPr>
        <w:t>信号幅度为1</w:t>
      </w:r>
      <w:r>
        <w:rPr>
          <w:rFonts w:cs="Times New Roman"/>
        </w:rPr>
        <w:t>0</w:t>
      </w:r>
      <w:r>
        <w:rPr>
          <w:rFonts w:hint="eastAsia" w:cs="Times New Roman"/>
        </w:rPr>
        <w:t>，量化器动态范围U</w:t>
      </w:r>
      <w:r>
        <w:rPr>
          <w:rFonts w:cs="Times New Roman"/>
        </w:rPr>
        <w:t>n</w:t>
      </w:r>
      <w:r>
        <w:rPr>
          <w:rFonts w:hint="eastAsia" w:cs="Times New Roman"/>
        </w:rPr>
        <w:t>为1</w:t>
      </w:r>
      <w:r>
        <w:rPr>
          <w:rFonts w:cs="Times New Roman"/>
        </w:rPr>
        <w:t>0</w:t>
      </w:r>
      <w:r>
        <w:rPr>
          <w:rFonts w:hint="eastAsia" w:cs="Times New Roman"/>
        </w:rPr>
        <w:t>，</w:t>
      </w:r>
      <w:r>
        <w:rPr>
          <w:rFonts w:cs="Times New Roman"/>
        </w:rPr>
        <w:t>信号频率为10Hz</w:t>
      </w:r>
      <w:r>
        <w:rPr>
          <w:rFonts w:hint="eastAsia" w:cs="Times New Roman"/>
        </w:rPr>
        <w:t>，信号初始相位为90，</w:t>
      </w:r>
      <w:r>
        <w:rPr>
          <w:rFonts w:cs="Times New Roman"/>
        </w:rPr>
        <w:t>抽样频率为500Hz</w:t>
      </w:r>
      <w:r>
        <w:rPr>
          <w:rFonts w:hint="eastAsia" w:cs="Times New Roman"/>
        </w:rPr>
        <w:t>，</w:t>
      </w:r>
      <w:r>
        <w:rPr>
          <w:rFonts w:cs="Times New Roman"/>
        </w:rPr>
        <w:t>DA</w:t>
      </w:r>
      <w:r>
        <w:rPr>
          <w:rFonts w:hint="eastAsia" w:cs="Times New Roman"/>
        </w:rPr>
        <w:t>输出配置为不输出，</w:t>
      </w:r>
      <w:r>
        <w:rPr>
          <w:rFonts w:cs="Times New Roman"/>
        </w:rPr>
        <w:t>当前模式配置为</w:t>
      </w:r>
      <w:r>
        <w:rPr>
          <w:rFonts w:hint="eastAsia" w:cs="Times New Roman"/>
        </w:rPr>
        <w:t>“</w:t>
      </w:r>
      <w:r>
        <w:rPr>
          <w:rFonts w:cs="Times New Roman"/>
        </w:rPr>
        <w:t>原理讲演模式</w:t>
      </w:r>
      <w:r>
        <w:rPr>
          <w:rFonts w:hint="eastAsia" w:cs="Times New Roman"/>
        </w:rPr>
        <w:t>”</w:t>
      </w:r>
      <w:r>
        <w:rPr>
          <w:rFonts w:cs="Times New Roman"/>
        </w:rPr>
        <w:t>，如下图5所示。</w:t>
      </w:r>
    </w:p>
    <w:p w14:paraId="1875028E">
      <w:pPr>
        <w:rPr>
          <w:rFonts w:cs="Times New Roman"/>
        </w:rPr>
      </w:pPr>
      <w:r>
        <w:drawing>
          <wp:inline distT="0" distB="0" distL="114300" distR="114300">
            <wp:extent cx="5933440" cy="467995"/>
            <wp:effectExtent l="0" t="0" r="10160" b="8255"/>
            <wp:docPr id="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B968">
      <w:pPr>
        <w:jc w:val="center"/>
        <w:rPr>
          <w:rFonts w:cs="Times New Roman"/>
        </w:rPr>
      </w:pPr>
      <w:r>
        <w:rPr>
          <w:rFonts w:cs="Times New Roman"/>
        </w:rPr>
        <w:t>图5 配置实验参数</w:t>
      </w:r>
    </w:p>
    <w:p w14:paraId="16A8B0FC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 xml:space="preserve">Step2 </w:t>
      </w:r>
      <w:r>
        <w:rPr>
          <w:rFonts w:cs="Times New Roman"/>
        </w:rPr>
        <w:t>观察软件仿真波形</w:t>
      </w:r>
      <w:r>
        <w:rPr>
          <w:rFonts w:hint="eastAsia" w:cs="Times New Roman"/>
        </w:rPr>
        <w:t>（学生自行运行即可，不用记录）</w:t>
      </w:r>
    </w:p>
    <w:p w14:paraId="609A8418">
      <w:pPr>
        <w:rPr>
          <w:b/>
        </w:rPr>
      </w:pPr>
      <w:r>
        <w:rPr>
          <w:b/>
        </w:rPr>
        <w:t>3、读懂参考例程的程序，观察并记录软件仿真波形</w:t>
      </w:r>
      <w:r>
        <w:rPr>
          <w:rFonts w:hint="eastAsia"/>
          <w:b/>
        </w:rPr>
        <w:t>和示波器实测波形</w:t>
      </w:r>
    </w:p>
    <w:p w14:paraId="22CA70AD">
      <w:pPr>
        <w:ind w:firstLine="482" w:firstLineChars="200"/>
        <w:rPr>
          <w:rFonts w:eastAsia="宋体" w:cs="Times New Roman"/>
          <w:b/>
          <w:szCs w:val="24"/>
        </w:rPr>
      </w:pPr>
      <w:r>
        <w:rPr>
          <w:rFonts w:eastAsia="宋体" w:cs="Times New Roman"/>
          <w:b/>
          <w:szCs w:val="24"/>
        </w:rPr>
        <w:t>Step1</w:t>
      </w:r>
      <w:r>
        <w:rPr>
          <w:rFonts w:hint="eastAsia" w:eastAsia="宋体" w:cs="Times New Roman"/>
          <w:b/>
          <w:szCs w:val="24"/>
        </w:rPr>
        <w:t xml:space="preserve"> </w:t>
      </w:r>
      <w:r>
        <w:rPr>
          <w:rFonts w:eastAsia="宋体" w:cs="Times New Roman"/>
          <w:szCs w:val="24"/>
        </w:rPr>
        <w:t>点击当前模式右侧下拉按钮，选择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编程练习模式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，在随后弹出的提示框中点击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继续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将实验模式切换到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编程练习模式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。如图6所示。</w:t>
      </w:r>
    </w:p>
    <w:p w14:paraId="4B515C29">
      <w:pPr>
        <w:ind w:left="480" w:leftChars="200"/>
      </w:pPr>
      <w:r>
        <w:drawing>
          <wp:inline distT="0" distB="0" distL="0" distR="0">
            <wp:extent cx="1828165" cy="58991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3419475" cy="9334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7D65">
      <w:pPr>
        <w:jc w:val="center"/>
      </w:pPr>
      <w:r>
        <w:t>图6 切换实验模式</w:t>
      </w:r>
    </w:p>
    <w:p w14:paraId="1D5C3FC5">
      <w:pPr>
        <w:ind w:firstLine="482" w:firstLineChars="200"/>
        <w:rPr>
          <w:b/>
          <w:szCs w:val="24"/>
        </w:rPr>
      </w:pPr>
      <w:r>
        <w:rPr>
          <w:b/>
          <w:szCs w:val="24"/>
        </w:rPr>
        <w:t>Step2</w:t>
      </w:r>
      <w:r>
        <w:rPr>
          <w:rFonts w:hint="eastAsia"/>
          <w:b/>
          <w:szCs w:val="24"/>
        </w:rPr>
        <w:t xml:space="preserve"> </w:t>
      </w:r>
      <w:r>
        <w:rPr>
          <w:szCs w:val="24"/>
        </w:rPr>
        <w:t>在主界面上方菜单中点击</w:t>
      </w:r>
      <w:r>
        <w:rPr>
          <w:rFonts w:hint="eastAsia"/>
          <w:szCs w:val="24"/>
        </w:rPr>
        <w:t>“</w:t>
      </w:r>
      <w:r>
        <w:rPr>
          <w:szCs w:val="24"/>
        </w:rPr>
        <w:t>请选择要打开的文件</w:t>
      </w:r>
      <w:r>
        <w:rPr>
          <w:rFonts w:hint="eastAsia"/>
          <w:szCs w:val="24"/>
        </w:rPr>
        <w:t>”</w:t>
      </w:r>
      <w:r>
        <w:rPr>
          <w:szCs w:val="24"/>
        </w:rPr>
        <w:t>框右侧下拉键，选中本实验的编程文件，选中后点击鼠标左键可打开本实验编程的</w:t>
      </w:r>
      <w:r>
        <w:rPr>
          <w:rFonts w:hint="eastAsia"/>
          <w:szCs w:val="24"/>
        </w:rPr>
        <w:t>“</w:t>
      </w:r>
      <w:r>
        <w:rPr>
          <w:szCs w:val="24"/>
        </w:rPr>
        <w:t>main.m</w:t>
      </w:r>
      <w:r>
        <w:rPr>
          <w:rFonts w:hint="eastAsia"/>
          <w:szCs w:val="24"/>
        </w:rPr>
        <w:t>”</w:t>
      </w:r>
      <w:r>
        <w:rPr>
          <w:szCs w:val="24"/>
        </w:rPr>
        <w:t>文件</w:t>
      </w:r>
      <w:r>
        <w:rPr>
          <w:rFonts w:hint="eastAsia"/>
          <w:szCs w:val="24"/>
        </w:rPr>
        <w:t>，</w:t>
      </w:r>
      <w:r>
        <w:rPr>
          <w:szCs w:val="24"/>
        </w:rPr>
        <w:t>如图7所示。</w:t>
      </w:r>
    </w:p>
    <w:p w14:paraId="77072541">
      <w:pPr>
        <w:jc w:val="center"/>
        <w:rPr>
          <w:rFonts w:cs="Times New Roman"/>
        </w:rPr>
      </w:pPr>
      <w:r>
        <w:drawing>
          <wp:inline distT="0" distB="0" distL="0" distR="0">
            <wp:extent cx="4312285" cy="1625600"/>
            <wp:effectExtent l="0" t="0" r="1206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3C2">
      <w:pPr>
        <w:jc w:val="center"/>
        <w:rPr>
          <w:rFonts w:cs="Times New Roman"/>
        </w:rPr>
      </w:pPr>
      <w:r>
        <w:rPr>
          <w:rFonts w:cs="Times New Roman"/>
        </w:rPr>
        <w:t>图</w:t>
      </w:r>
      <w:r>
        <w:rPr>
          <w:rFonts w:hint="eastAsia" w:cs="Times New Roman"/>
        </w:rPr>
        <w:t>7</w:t>
      </w:r>
      <w:r>
        <w:rPr>
          <w:rFonts w:cs="Times New Roman"/>
        </w:rPr>
        <w:t xml:space="preserve"> 打开编程文件</w:t>
      </w:r>
    </w:p>
    <w:p w14:paraId="29279124">
      <w:pPr>
        <w:ind w:firstLine="482" w:firstLineChars="200"/>
        <w:rPr>
          <w:rFonts w:eastAsia="宋体" w:cs="Times New Roman"/>
          <w:szCs w:val="24"/>
        </w:rPr>
      </w:pPr>
      <w:r>
        <w:rPr>
          <w:rFonts w:eastAsia="宋体" w:cs="Times New Roman"/>
          <w:b/>
          <w:szCs w:val="24"/>
        </w:rPr>
        <w:t>Step3</w:t>
      </w:r>
      <w:r>
        <w:rPr>
          <w:rFonts w:hint="eastAsia" w:eastAsia="宋体" w:cs="Times New Roman"/>
          <w:b/>
          <w:szCs w:val="24"/>
        </w:rPr>
        <w:t xml:space="preserve"> </w:t>
      </w:r>
      <w:r>
        <w:rPr>
          <w:rFonts w:eastAsia="宋体" w:cs="Times New Roman"/>
          <w:szCs w:val="24"/>
        </w:rPr>
        <w:t>在MATLAB程序编辑环境下，逐条理解MATLAB程序。</w:t>
      </w:r>
    </w:p>
    <w:p w14:paraId="6DF7C8A0">
      <w:pPr>
        <w:ind w:firstLine="482" w:firstLineChars="200"/>
        <w:rPr>
          <w:rFonts w:eastAsia="宋体" w:cs="Times New Roman"/>
          <w:szCs w:val="24"/>
        </w:rPr>
      </w:pPr>
      <w:r>
        <w:rPr>
          <w:rFonts w:eastAsia="宋体" w:cs="Times New Roman"/>
          <w:b/>
          <w:szCs w:val="24"/>
        </w:rPr>
        <w:t>Step4</w:t>
      </w:r>
      <w:r>
        <w:rPr>
          <w:rFonts w:hint="eastAsia" w:eastAsia="宋体" w:cs="Times New Roman"/>
          <w:b/>
          <w:szCs w:val="24"/>
        </w:rPr>
        <w:t xml:space="preserve"> </w:t>
      </w:r>
      <w:r>
        <w:rPr>
          <w:rFonts w:eastAsia="宋体" w:cs="Times New Roman"/>
          <w:szCs w:val="24"/>
        </w:rPr>
        <w:t>在MATLAB程序编辑环境下，点击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Run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，在弹出的对话框中选择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Add to Path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，程序开始运行，观察软件仿真波形</w:t>
      </w:r>
      <w:r>
        <w:rPr>
          <w:rFonts w:hint="eastAsia" w:eastAsia="宋体" w:cs="Times New Roman"/>
          <w:szCs w:val="24"/>
        </w:rPr>
        <w:t>，将波形</w:t>
      </w:r>
      <w:r>
        <w:rPr>
          <w:rFonts w:eastAsia="宋体" w:cs="Times New Roman"/>
          <w:szCs w:val="24"/>
        </w:rPr>
        <w:t>记录到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六、实验记录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中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2、</w:t>
      </w:r>
      <w:r>
        <w:rPr>
          <w:rFonts w:hint="eastAsia" w:eastAsia="宋体" w:cs="Times New Roman"/>
          <w:szCs w:val="24"/>
        </w:rPr>
        <w:t>参考例程软件仿真波形和示波器实测波形”</w:t>
      </w:r>
      <w:r>
        <w:rPr>
          <w:rFonts w:eastAsia="宋体" w:cs="Times New Roman"/>
          <w:szCs w:val="24"/>
        </w:rPr>
        <w:t>对应的位置。</w:t>
      </w:r>
    </w:p>
    <w:p w14:paraId="55D884F4">
      <w:pPr>
        <w:tabs>
          <w:tab w:val="left" w:pos="515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Step5</w:t>
      </w:r>
      <w:r>
        <w:rPr>
          <w:rFonts w:cs="Times New Roman"/>
          <w:szCs w:val="24"/>
        </w:rPr>
        <w:t xml:space="preserve"> 通过示波器测量真实波形</w:t>
      </w:r>
      <w:r>
        <w:rPr>
          <w:rFonts w:hint="eastAsia" w:cs="Times New Roman"/>
          <w:szCs w:val="24"/>
        </w:rPr>
        <w:t>，</w:t>
      </w:r>
      <w:r>
        <w:rPr>
          <w:rFonts w:cs="Times New Roman"/>
          <w:szCs w:val="24"/>
        </w:rPr>
        <w:t>将该波形记录到</w:t>
      </w:r>
      <w:r>
        <w:rPr>
          <w:rFonts w:hint="eastAsia" w:cs="Times New Roman"/>
          <w:szCs w:val="24"/>
        </w:rPr>
        <w:t>“六、</w:t>
      </w:r>
      <w:r>
        <w:rPr>
          <w:rFonts w:cs="Times New Roman"/>
          <w:szCs w:val="24"/>
        </w:rPr>
        <w:t>实验记录</w:t>
      </w:r>
      <w:r>
        <w:rPr>
          <w:rFonts w:hint="eastAsia" w:cs="Times New Roman"/>
          <w:szCs w:val="24"/>
        </w:rPr>
        <w:t>”</w:t>
      </w:r>
      <w:r>
        <w:rPr>
          <w:rFonts w:hint="eastAsia"/>
        </w:rPr>
        <w:t>中</w:t>
      </w:r>
      <w:r>
        <w:rPr>
          <w:rFonts w:hint="eastAsia" w:cs="Times New Roman"/>
          <w:szCs w:val="24"/>
        </w:rPr>
        <w:t>“</w:t>
      </w:r>
      <w:r>
        <w:rPr>
          <w:rFonts w:cs="Times New Roman"/>
          <w:szCs w:val="24"/>
        </w:rPr>
        <w:t>2</w:t>
      </w:r>
      <w:r>
        <w:rPr>
          <w:rFonts w:hint="eastAsia" w:cs="Times New Roman"/>
          <w:szCs w:val="24"/>
        </w:rPr>
        <w:t>、参考例程软件仿真波形和示波器实测波形”对应的位置</w:t>
      </w:r>
      <w:r>
        <w:rPr>
          <w:rFonts w:cs="Times New Roman"/>
          <w:szCs w:val="24"/>
        </w:rPr>
        <w:t>。</w:t>
      </w:r>
    </w:p>
    <w:p w14:paraId="6E7174F5">
      <w:pPr>
        <w:rPr>
          <w:rFonts w:cs="Times New Roman"/>
          <w:b/>
        </w:rPr>
      </w:pPr>
      <w:r>
        <w:rPr>
          <w:rFonts w:cs="Times New Roman"/>
          <w:b/>
        </w:rPr>
        <w:t>4</w:t>
      </w:r>
      <w:r>
        <w:rPr>
          <w:rFonts w:hint="eastAsia" w:cs="Times New Roman"/>
          <w:b/>
        </w:rPr>
        <w:t>、根据学生编程的要求，现场编写MATLAB程序，观察并记录软件仿真波形和示波器实测波形</w:t>
      </w:r>
    </w:p>
    <w:p w14:paraId="11A0BF90">
      <w:pPr>
        <w:tabs>
          <w:tab w:val="left" w:pos="31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Step1 </w:t>
      </w:r>
      <w:r>
        <w:rPr>
          <w:rFonts w:hint="eastAsia" w:cs="Times New Roman"/>
          <w:szCs w:val="24"/>
        </w:rPr>
        <w:t>注释原有实验例程的代码（先用鼠标拖选的方式选择全部实验例程代码，然后按下“</w:t>
      </w:r>
      <w:r>
        <w:rPr>
          <w:rFonts w:cs="Times New Roman"/>
          <w:szCs w:val="24"/>
        </w:rPr>
        <w:t>Ctrl+R</w:t>
      </w:r>
      <w:r>
        <w:rPr>
          <w:rFonts w:hint="eastAsia" w:cs="Times New Roman"/>
          <w:szCs w:val="24"/>
        </w:rPr>
        <w:t>”即可将例程代码注释掉），避免影响新代码的编写与运行。</w:t>
      </w:r>
    </w:p>
    <w:p w14:paraId="5EE1A1CC">
      <w:pPr>
        <w:tabs>
          <w:tab w:val="left" w:pos="31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Step2</w:t>
      </w:r>
      <w:r>
        <w:rPr>
          <w:rFonts w:cs="Times New Roman"/>
          <w:szCs w:val="24"/>
        </w:rPr>
        <w:t xml:space="preserve"> </w:t>
      </w:r>
      <w:r>
        <w:rPr>
          <w:rFonts w:hint="eastAsia" w:cs="Times New Roman"/>
          <w:szCs w:val="24"/>
        </w:rPr>
        <w:t>在“</w:t>
      </w:r>
      <w:r>
        <w:rPr>
          <w:rFonts w:cs="Times New Roman"/>
          <w:szCs w:val="24"/>
        </w:rPr>
        <w:t>Student Program</w:t>
      </w:r>
      <w:r>
        <w:rPr>
          <w:rFonts w:hint="eastAsia" w:cs="Times New Roman"/>
          <w:szCs w:val="24"/>
        </w:rPr>
        <w:t>”区域内根据学生编程的要求，实验现场编写程序。</w:t>
      </w:r>
    </w:p>
    <w:p w14:paraId="1108E894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编程要求：</w:t>
      </w:r>
    </w:p>
    <w:p w14:paraId="1DCF2499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1）根据A律13折线做出</w:t>
      </w:r>
      <w:r>
        <w:rPr>
          <w:rFonts w:cs="Times New Roman"/>
          <w:szCs w:val="24"/>
        </w:rPr>
        <w:t>μ</w:t>
      </w:r>
      <w:r>
        <w:rPr>
          <w:rFonts w:hint="eastAsia" w:cs="Times New Roman"/>
          <w:szCs w:val="24"/>
        </w:rPr>
        <w:t>律15折线下非均匀量化PCM编译码实验。</w:t>
      </w:r>
    </w:p>
    <w:p w14:paraId="2EBBC937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2）对信号进行抽样，压缩，均匀量化并译码。</w:t>
      </w:r>
    </w:p>
    <w:p w14:paraId="75230F54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3）分别绘制出信号源，抽样后，抽样后压缩特性，量化后，量化误差，编码后，译码还原后数据波形图。</w:t>
      </w:r>
    </w:p>
    <w:p w14:paraId="74309CF5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</w:p>
    <w:p w14:paraId="4BD8C396">
      <w:pPr>
        <w:tabs>
          <w:tab w:val="left" w:pos="31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Step3</w:t>
      </w:r>
      <w:r>
        <w:rPr>
          <w:rFonts w:cs="Times New Roman"/>
          <w:szCs w:val="24"/>
        </w:rPr>
        <w:t xml:space="preserve"> </w:t>
      </w:r>
      <w:r>
        <w:rPr>
          <w:rFonts w:hint="eastAsia" w:cs="Times New Roman"/>
          <w:szCs w:val="24"/>
        </w:rPr>
        <w:t>程序编完以后，在</w:t>
      </w:r>
      <w:r>
        <w:rPr>
          <w:rFonts w:cs="Times New Roman"/>
          <w:szCs w:val="24"/>
        </w:rPr>
        <w:t>MATLAB</w:t>
      </w:r>
      <w:r>
        <w:rPr>
          <w:rFonts w:hint="eastAsia" w:cs="Times New Roman"/>
          <w:szCs w:val="24"/>
        </w:rPr>
        <w:t>的程序编辑环境下，点击“</w:t>
      </w:r>
      <w:r>
        <w:rPr>
          <w:rFonts w:cs="Times New Roman"/>
          <w:szCs w:val="24"/>
        </w:rPr>
        <w:t>Run</w:t>
      </w:r>
      <w:r>
        <w:rPr>
          <w:rFonts w:hint="eastAsia" w:cs="Times New Roman"/>
          <w:szCs w:val="24"/>
        </w:rPr>
        <w:t>”，在弹出的对话框中选择“</w:t>
      </w:r>
      <w:r>
        <w:rPr>
          <w:rFonts w:cs="Times New Roman"/>
          <w:szCs w:val="24"/>
        </w:rPr>
        <w:t>Add to Path</w:t>
      </w:r>
      <w:r>
        <w:rPr>
          <w:rFonts w:hint="eastAsia" w:cs="Times New Roman"/>
          <w:szCs w:val="24"/>
        </w:rPr>
        <w:t>”，观察软件仿真波形，并将该波形记录到“六、实验记录”中“</w:t>
      </w:r>
      <w:r>
        <w:rPr>
          <w:rFonts w:cs="Times New Roman"/>
          <w:szCs w:val="24"/>
        </w:rPr>
        <w:t>3</w:t>
      </w:r>
      <w:r>
        <w:rPr>
          <w:rFonts w:hint="eastAsia" w:cs="Times New Roman"/>
          <w:szCs w:val="24"/>
        </w:rPr>
        <w:t>、学生编程软件仿真波形和示波器实测波形”对应的位置。</w:t>
      </w:r>
    </w:p>
    <w:p w14:paraId="55D436F2">
      <w:pPr>
        <w:tabs>
          <w:tab w:val="left" w:pos="515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Step4</w:t>
      </w:r>
      <w:r>
        <w:rPr>
          <w:rFonts w:cs="Times New Roman"/>
          <w:szCs w:val="24"/>
        </w:rPr>
        <w:t xml:space="preserve"> 通过示波器测量真实波形</w:t>
      </w:r>
      <w:r>
        <w:rPr>
          <w:rFonts w:hint="eastAsia" w:cs="Times New Roman"/>
          <w:szCs w:val="24"/>
        </w:rPr>
        <w:t>，</w:t>
      </w:r>
      <w:r>
        <w:rPr>
          <w:rFonts w:cs="Times New Roman"/>
          <w:szCs w:val="24"/>
        </w:rPr>
        <w:t>将该波形</w:t>
      </w:r>
      <w:r>
        <w:rPr>
          <w:rFonts w:hint="eastAsia" w:cs="Times New Roman"/>
          <w:szCs w:val="24"/>
        </w:rPr>
        <w:t>记录到“六、实验记录”中“</w:t>
      </w:r>
      <w:r>
        <w:rPr>
          <w:rFonts w:cs="Times New Roman"/>
          <w:szCs w:val="24"/>
        </w:rPr>
        <w:t>3</w:t>
      </w:r>
      <w:r>
        <w:rPr>
          <w:rFonts w:hint="eastAsia" w:cs="Times New Roman"/>
          <w:szCs w:val="24"/>
        </w:rPr>
        <w:t>、学生编程软件仿真波形和示波器实测波形”对应的位置。</w:t>
      </w:r>
    </w:p>
    <w:p w14:paraId="494CB981">
      <w:pPr>
        <w:pStyle w:val="3"/>
      </w:pPr>
      <w:r>
        <w:t>六</w:t>
      </w:r>
      <w:r>
        <w:rPr>
          <w:rFonts w:hint="eastAsia"/>
        </w:rPr>
        <w:t>、</w:t>
      </w:r>
      <w:r>
        <w:t>实验记录</w:t>
      </w:r>
    </w:p>
    <w:p w14:paraId="1F7570AB">
      <w:r>
        <w:rPr>
          <w:rFonts w:hint="eastAsia"/>
        </w:rPr>
        <w:t>1、不同配置参数下软件仿真波形和示波器实测波形</w:t>
      </w:r>
    </w:p>
    <w:tbl>
      <w:tblPr>
        <w:tblStyle w:val="8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 w14:paraId="014B01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7700BB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参数配置</w:t>
            </w:r>
          </w:p>
        </w:tc>
        <w:tc>
          <w:tcPr>
            <w:tcW w:w="7364" w:type="dxa"/>
            <w:vAlign w:val="center"/>
          </w:tcPr>
          <w:p w14:paraId="207D48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信号幅度：10，量化器动态范围U</w:t>
            </w: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为1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，信号频率：</w:t>
            </w:r>
            <w:r>
              <w:rPr>
                <w:b/>
              </w:rPr>
              <w:t>10</w:t>
            </w:r>
            <w:r>
              <w:rPr>
                <w:rFonts w:hint="eastAsia"/>
                <w:b/>
              </w:rPr>
              <w:t>Hz，信号初始相位为0，抽样频率为2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0Hz</w:t>
            </w:r>
          </w:p>
        </w:tc>
      </w:tr>
      <w:tr w14:paraId="74417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357F6B3B">
            <w:pPr>
              <w:jc w:val="center"/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283E5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F6E8B6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数据源</w:t>
            </w:r>
          </w:p>
        </w:tc>
        <w:tc>
          <w:tcPr>
            <w:tcW w:w="7364" w:type="dxa"/>
            <w:vMerge w:val="restart"/>
            <w:vAlign w:val="center"/>
          </w:tcPr>
          <w:p w14:paraId="1EE73DE6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804285" cy="1806575"/>
                  <wp:effectExtent l="0" t="0" r="5715" b="9525"/>
                  <wp:docPr id="8" name="图片 8" descr="1数据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数据源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85" cy="180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F92C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tcBorders>
              <w:bottom w:val="single" w:color="auto" w:sz="4" w:space="0"/>
            </w:tcBorders>
            <w:vAlign w:val="center"/>
          </w:tcPr>
          <w:p w14:paraId="79F3EB0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</w:t>
            </w:r>
            <w:r>
              <w:rPr>
                <w:b/>
              </w:rPr>
              <w:t>脉冲</w:t>
            </w:r>
          </w:p>
        </w:tc>
        <w:tc>
          <w:tcPr>
            <w:tcW w:w="7364" w:type="dxa"/>
            <w:vMerge w:val="continue"/>
            <w:vAlign w:val="center"/>
          </w:tcPr>
          <w:p w14:paraId="1D8C933C">
            <w:pPr>
              <w:jc w:val="center"/>
            </w:pPr>
          </w:p>
        </w:tc>
      </w:tr>
      <w:tr w14:paraId="2A661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61BE4F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</w:t>
            </w:r>
            <w:r>
              <w:rPr>
                <w:b/>
              </w:rPr>
              <w:t>后数据</w:t>
            </w:r>
          </w:p>
        </w:tc>
        <w:tc>
          <w:tcPr>
            <w:tcW w:w="7364" w:type="dxa"/>
            <w:vMerge w:val="restart"/>
            <w:vAlign w:val="center"/>
          </w:tcPr>
          <w:p w14:paraId="072B7CF9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750945" cy="2179320"/>
                  <wp:effectExtent l="0" t="0" r="8255" b="5080"/>
                  <wp:docPr id="9" name="图片 9" descr="1抽样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抽样后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DA36F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A1363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归一化数据</w:t>
            </w:r>
          </w:p>
        </w:tc>
        <w:tc>
          <w:tcPr>
            <w:tcW w:w="7364" w:type="dxa"/>
            <w:vMerge w:val="continue"/>
            <w:vAlign w:val="center"/>
          </w:tcPr>
          <w:p w14:paraId="44D3D51C">
            <w:pPr>
              <w:jc w:val="center"/>
            </w:pPr>
          </w:p>
        </w:tc>
      </w:tr>
      <w:tr w14:paraId="42559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20718D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压缩后数据/</w:t>
            </w:r>
            <w:r>
              <w:rPr>
                <w:b/>
              </w:rPr>
              <w:t>13</w:t>
            </w:r>
            <w:r>
              <w:rPr>
                <w:rFonts w:hint="eastAsia"/>
                <w:b/>
              </w:rPr>
              <w:t>折线压缩特性</w:t>
            </w:r>
          </w:p>
        </w:tc>
        <w:tc>
          <w:tcPr>
            <w:tcW w:w="7364" w:type="dxa"/>
            <w:vAlign w:val="center"/>
          </w:tcPr>
          <w:p w14:paraId="75511312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0" cy="0"/>
                  <wp:effectExtent l="0" t="0" r="0" b="0"/>
                  <wp:docPr id="10" name="图片 10" descr="1压缩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压缩后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470910" cy="1885315"/>
                  <wp:effectExtent l="0" t="0" r="8890" b="6985"/>
                  <wp:docPr id="11" name="图片 11" descr="1压缩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压缩后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910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BF3C2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695C7B51">
            <w:r>
              <w:rPr>
                <w:rFonts w:hint="eastAsia"/>
                <w:b/>
              </w:rPr>
              <w:t>分析结果：</w:t>
            </w:r>
            <w:r>
              <w:t>由所给参数可写出</w:t>
            </w:r>
            <w:r>
              <w:rPr>
                <w:rFonts w:hint="eastAsia"/>
              </w:rPr>
              <w:t>信号</w:t>
            </w:r>
            <w:r>
              <w:t>源表达式为</w:t>
            </w:r>
            <m:oMath>
              <m:r>
                <m:rPr>
                  <m:sty m:val="b"/>
                </m:rPr>
                <w:rPr>
                  <w:rFonts w:hint="eastAsia" w:ascii="Cambria Math" w:hAnsi="Cambria Math"/>
                  <w:u w:val="single"/>
                </w:rPr>
                <m:t>x(t)=10sin⁡(2π×10t)</m:t>
              </m:r>
            </m:oMath>
            <w:r>
              <w:rPr>
                <w:rFonts w:hint="eastAsia"/>
              </w:rPr>
              <w:t>，</w:t>
            </w:r>
            <w:r>
              <w:t>抽样后数据时间</w:t>
            </w:r>
            <w:r>
              <w:rPr>
                <w:rFonts w:hint="eastAsia"/>
                <w:b/>
                <w:u w:val="thick"/>
                <w:lang w:val="en-US" w:eastAsia="zh-CN"/>
              </w:rPr>
              <w:t>0.005s</w:t>
            </w:r>
            <w:r>
              <w:rPr>
                <w:rFonts w:hint="eastAsia"/>
              </w:rPr>
              <w:t>，</w:t>
            </w:r>
            <w:r>
              <w:t>幅值</w:t>
            </w:r>
            <w:r>
              <w:rPr>
                <w:rFonts w:hint="eastAsia"/>
                <w:b/>
                <w:u w:val="thick"/>
                <w:lang w:val="en-US" w:eastAsia="zh-CN"/>
              </w:rPr>
              <w:t>10</w:t>
            </w:r>
            <w:r>
              <w:rPr>
                <w:rFonts w:hint="eastAsia"/>
              </w:rPr>
              <w:t>。</w:t>
            </w:r>
          </w:p>
        </w:tc>
      </w:tr>
      <w:tr w14:paraId="0E685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9344" w:type="dxa"/>
            <w:gridSpan w:val="2"/>
            <w:vAlign w:val="center"/>
          </w:tcPr>
          <w:p w14:paraId="718B773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数据显示框</w:t>
            </w:r>
          </w:p>
        </w:tc>
      </w:tr>
      <w:tr w14:paraId="3BB590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3E3A6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抽样后数据</w:t>
            </w:r>
          </w:p>
        </w:tc>
        <w:tc>
          <w:tcPr>
            <w:tcW w:w="7364" w:type="dxa"/>
            <w:vAlign w:val="center"/>
          </w:tcPr>
          <w:p w14:paraId="5F723704">
            <w:pPr>
              <w:jc w:val="center"/>
            </w:pPr>
            <w:r>
              <w:drawing>
                <wp:inline distT="0" distB="0" distL="114300" distR="114300">
                  <wp:extent cx="4535170" cy="213360"/>
                  <wp:effectExtent l="0" t="0" r="11430" b="2540"/>
                  <wp:docPr id="1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17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13B77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3F7989B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归一化数据</w:t>
            </w:r>
          </w:p>
        </w:tc>
        <w:tc>
          <w:tcPr>
            <w:tcW w:w="7364" w:type="dxa"/>
            <w:vAlign w:val="center"/>
          </w:tcPr>
          <w:p w14:paraId="34A3F6AF">
            <w:pPr>
              <w:jc w:val="center"/>
              <w:rPr>
                <w:b/>
              </w:rPr>
            </w:pPr>
            <w:r>
              <w:drawing>
                <wp:inline distT="0" distB="0" distL="114300" distR="114300">
                  <wp:extent cx="4537710" cy="318770"/>
                  <wp:effectExtent l="0" t="0" r="8890" b="11430"/>
                  <wp:docPr id="1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A3FD7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3174D5EE">
            <w:pPr>
              <w:rPr>
                <w:b/>
              </w:rPr>
            </w:pPr>
            <w:r>
              <w:rPr>
                <w:rFonts w:hint="eastAsia"/>
                <w:b/>
              </w:rPr>
              <w:t>分析结果：</w:t>
            </w:r>
            <w:r>
              <w:rPr>
                <w:rFonts w:hint="eastAsia"/>
              </w:rPr>
              <w:t>抽样后数据是在信号源基础上取离散点对应的幅值。抽样后归一化数据是对抽样后数据进行归一化处理，处理原则是：先确定抽样后数据的绝对值对应的最大值，然后用每点处的值除以最大值，就得到该点处抽样后归一化数据。如运行完后，找到抽样后数据绝对值对应的最大值为</w:t>
            </w:r>
            <w:r>
              <w:rPr>
                <w:rFonts w:hint="eastAsia"/>
                <w:b/>
                <w:u w:val="single"/>
              </w:rPr>
              <w:t>3.526</w:t>
            </w:r>
            <w:r>
              <w:rPr>
                <w:rFonts w:hint="eastAsia"/>
              </w:rPr>
              <w:t>，</w:t>
            </w:r>
            <w:r>
              <w:t>取第二个数据</w:t>
            </w:r>
            <w:r>
              <w:rPr>
                <w:rFonts w:hint="eastAsia"/>
                <w:b/>
                <w:u w:val="single"/>
              </w:rPr>
              <w:t>1.090</w:t>
            </w:r>
            <w:r>
              <w:rPr>
                <w:rFonts w:hint="eastAsia"/>
                <w:b/>
                <w:u w:val="single"/>
                <w:lang w:val="en-US" w:eastAsia="zh-CN"/>
              </w:rPr>
              <w:t>2</w:t>
            </w:r>
            <w:r>
              <w:t>为例</w:t>
            </w:r>
            <w:r>
              <w:rPr>
                <w:rFonts w:hint="eastAsia"/>
              </w:rPr>
              <w:t>，</w:t>
            </w:r>
            <w:r>
              <w:t>得到</w:t>
            </w:r>
            <w:r>
              <w:rPr>
                <w:rFonts w:hint="eastAsia"/>
              </w:rPr>
              <w:t>该</w:t>
            </w:r>
            <w:r>
              <w:t>点处抽样后归一化数据为</w:t>
            </w:r>
            <w:r>
              <w:rPr>
                <w:rFonts w:hint="eastAsia"/>
                <w:b/>
                <w:u w:val="single"/>
                <w:lang w:val="en-US" w:eastAsia="zh-CN"/>
              </w:rPr>
              <w:t>0.309</w:t>
            </w:r>
            <w:r>
              <w:rPr>
                <w:rFonts w:hint="eastAsia"/>
              </w:rPr>
              <w:t>（保留三位小数）。</w:t>
            </w:r>
            <w:r>
              <w:t>归一化后压缩数据是按照</w:t>
            </w:r>
            <w:r>
              <w:rPr>
                <w:rFonts w:hint="eastAsia"/>
              </w:rPr>
              <w:t>A律压缩规律进行压缩。</w:t>
            </w:r>
          </w:p>
        </w:tc>
      </w:tr>
      <w:tr w14:paraId="2F66BD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2E3E84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4D23F5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</w:trPr>
        <w:tc>
          <w:tcPr>
            <w:tcW w:w="1980" w:type="dxa"/>
            <w:vAlign w:val="center"/>
          </w:tcPr>
          <w:p w14:paraId="137A89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CM编码</w:t>
            </w:r>
            <w:r>
              <w:rPr>
                <w:rFonts w:hint="eastAsia"/>
                <w:b/>
              </w:rPr>
              <w:t>后数据</w:t>
            </w:r>
          </w:p>
        </w:tc>
        <w:tc>
          <w:tcPr>
            <w:tcW w:w="7364" w:type="dxa"/>
            <w:vAlign w:val="center"/>
          </w:tcPr>
          <w:p w14:paraId="5EE68909">
            <w:pPr>
              <w:jc w:val="center"/>
              <w:rPr>
                <w:b/>
              </w:rPr>
            </w:pPr>
            <w:r>
              <w:drawing>
                <wp:inline distT="0" distB="0" distL="114300" distR="114300">
                  <wp:extent cx="4532630" cy="899795"/>
                  <wp:effectExtent l="0" t="0" r="1270" b="1905"/>
                  <wp:docPr id="1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63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C3C22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778AA0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数据显示框</w:t>
            </w:r>
          </w:p>
        </w:tc>
      </w:tr>
      <w:tr w14:paraId="30CA38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A0FACE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7364" w:type="dxa"/>
            <w:vMerge w:val="restart"/>
            <w:vAlign w:val="center"/>
          </w:tcPr>
          <w:p w14:paraId="5669B825"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4536440" cy="897255"/>
                  <wp:effectExtent l="0" t="0" r="10160" b="4445"/>
                  <wp:docPr id="1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89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C1360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8DA4D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极性码</w:t>
            </w:r>
          </w:p>
        </w:tc>
        <w:tc>
          <w:tcPr>
            <w:tcW w:w="7364" w:type="dxa"/>
            <w:vMerge w:val="continue"/>
            <w:vAlign w:val="center"/>
          </w:tcPr>
          <w:p w14:paraId="49E0B1D7">
            <w:pPr>
              <w:jc w:val="center"/>
              <w:rPr>
                <w:b/>
              </w:rPr>
            </w:pPr>
          </w:p>
        </w:tc>
      </w:tr>
      <w:tr w14:paraId="464279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E5F196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段落序号</w:t>
            </w:r>
          </w:p>
        </w:tc>
        <w:tc>
          <w:tcPr>
            <w:tcW w:w="7364" w:type="dxa"/>
            <w:vMerge w:val="continue"/>
            <w:vAlign w:val="center"/>
          </w:tcPr>
          <w:p w14:paraId="415DCB06">
            <w:pPr>
              <w:jc w:val="center"/>
              <w:rPr>
                <w:b/>
              </w:rPr>
            </w:pPr>
          </w:p>
        </w:tc>
      </w:tr>
      <w:tr w14:paraId="2EF6B0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F467D8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量化级序号</w:t>
            </w:r>
          </w:p>
        </w:tc>
        <w:tc>
          <w:tcPr>
            <w:tcW w:w="7364" w:type="dxa"/>
            <w:vMerge w:val="continue"/>
            <w:vAlign w:val="center"/>
          </w:tcPr>
          <w:p w14:paraId="4E4B0474">
            <w:pPr>
              <w:jc w:val="center"/>
              <w:rPr>
                <w:b/>
              </w:rPr>
            </w:pPr>
          </w:p>
        </w:tc>
      </w:tr>
      <w:tr w14:paraId="64BE45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8E100D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CM编码</w:t>
            </w:r>
          </w:p>
        </w:tc>
        <w:tc>
          <w:tcPr>
            <w:tcW w:w="7364" w:type="dxa"/>
            <w:vMerge w:val="continue"/>
            <w:vAlign w:val="center"/>
          </w:tcPr>
          <w:p w14:paraId="7AE95712">
            <w:pPr>
              <w:jc w:val="center"/>
              <w:rPr>
                <w:b/>
              </w:rPr>
            </w:pPr>
          </w:p>
        </w:tc>
      </w:tr>
      <w:tr w14:paraId="1F3205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7B5C4E3A"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分析结果</w:t>
            </w:r>
            <w:r>
              <w:rPr>
                <w:rFonts w:hint="eastAsia"/>
                <w:b/>
                <w:lang w:eastAsia="zh-CN"/>
              </w:rPr>
              <w:t>：</w:t>
            </w:r>
            <w:r>
              <w:rPr>
                <w:rFonts w:hint="eastAsia"/>
              </w:rPr>
              <w:t>由于极性码 = 1，表示信号为正值。如果是负值，则会进行对称处理，编码时取反。确定信号所在的段落（Segment Identification）段落序号 7 表示该信号幅值较大，位于 第 7 段（从 0 开始编号）。A律编码中，段落的编号用 3 位二进制数表示。段落序号 7 的二进制表示为 110。确定信号在该段落内的量化级（Quantization Level Identification）在 A律编码的 13 折线结构中，每个段落内的信号幅值被进一步划分为多个 量化级。量化级序号 3 代表该信号在 第 7 段内的第 3 个量化级。量化级序号 3 的二进制表示为 0011（A律每个段内有 16 级，通常用 4 位表示）。</w:t>
            </w:r>
          </w:p>
        </w:tc>
      </w:tr>
      <w:tr w14:paraId="5F7B14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5D173C8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540121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FDE1C1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CM</w:t>
            </w:r>
            <w:r>
              <w:rPr>
                <w:rFonts w:hint="eastAsia"/>
                <w:b/>
              </w:rPr>
              <w:t>译</w:t>
            </w:r>
            <w:r>
              <w:rPr>
                <w:b/>
              </w:rPr>
              <w:t>码</w:t>
            </w:r>
            <w:r>
              <w:rPr>
                <w:rFonts w:hint="eastAsia"/>
                <w:b/>
              </w:rPr>
              <w:t>后数据</w:t>
            </w:r>
          </w:p>
        </w:tc>
        <w:tc>
          <w:tcPr>
            <w:tcW w:w="7364" w:type="dxa"/>
            <w:vMerge w:val="restart"/>
            <w:vAlign w:val="center"/>
          </w:tcPr>
          <w:p w14:paraId="56E96CD6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170045" cy="2543175"/>
                  <wp:effectExtent l="0" t="0" r="8255" b="9525"/>
                  <wp:docPr id="19" name="图片 19" descr="1PCM译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PCM译码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04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51559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A725B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译码后去归一化数据</w:t>
            </w:r>
          </w:p>
        </w:tc>
        <w:tc>
          <w:tcPr>
            <w:tcW w:w="7364" w:type="dxa"/>
            <w:vMerge w:val="continue"/>
            <w:vAlign w:val="center"/>
          </w:tcPr>
          <w:p w14:paraId="201F8A9D">
            <w:pPr>
              <w:jc w:val="center"/>
            </w:pPr>
          </w:p>
        </w:tc>
      </w:tr>
      <w:tr w14:paraId="2608C9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F0F44D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低通滤波后数据</w:t>
            </w:r>
          </w:p>
        </w:tc>
        <w:tc>
          <w:tcPr>
            <w:tcW w:w="7364" w:type="dxa"/>
            <w:vMerge w:val="continue"/>
            <w:vAlign w:val="center"/>
          </w:tcPr>
          <w:p w14:paraId="17D01D82">
            <w:pPr>
              <w:jc w:val="center"/>
              <w:rPr>
                <w:b/>
              </w:rPr>
            </w:pPr>
          </w:p>
        </w:tc>
      </w:tr>
      <w:tr w14:paraId="703BE1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3A1FC7AC">
            <w:pPr>
              <w:jc w:val="center"/>
              <w:rPr>
                <w:b/>
              </w:rPr>
            </w:pPr>
            <w:r>
              <w:rPr>
                <w:b/>
              </w:rPr>
              <w:t>数据显示框</w:t>
            </w:r>
          </w:p>
        </w:tc>
      </w:tr>
      <w:tr w14:paraId="009081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44711C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译码后数据</w:t>
            </w:r>
          </w:p>
        </w:tc>
        <w:tc>
          <w:tcPr>
            <w:tcW w:w="7364" w:type="dxa"/>
            <w:vAlign w:val="center"/>
          </w:tcPr>
          <w:p w14:paraId="75816870">
            <w:pPr>
              <w:jc w:val="center"/>
            </w:pPr>
            <w:r>
              <w:drawing>
                <wp:inline distT="0" distB="0" distL="114300" distR="114300">
                  <wp:extent cx="4537075" cy="212090"/>
                  <wp:effectExtent l="0" t="0" r="9525" b="3810"/>
                  <wp:docPr id="20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7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20D98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42C60729">
            <w:pPr>
              <w:jc w:val="center"/>
            </w:pPr>
            <w:r>
              <w:rPr>
                <w:b/>
              </w:rPr>
              <w:t>示波器实测波形</w:t>
            </w:r>
            <w:r>
              <w:rPr>
                <w:rFonts w:hint="eastAsia"/>
                <w:b/>
              </w:rPr>
              <w:t>图</w:t>
            </w:r>
          </w:p>
        </w:tc>
      </w:tr>
      <w:tr w14:paraId="6804E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E8ED5B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抽样后数据</w:t>
            </w:r>
          </w:p>
        </w:tc>
        <w:tc>
          <w:tcPr>
            <w:tcW w:w="7364" w:type="dxa"/>
            <w:vMerge w:val="restart"/>
            <w:vAlign w:val="center"/>
          </w:tcPr>
          <w:p w14:paraId="68AA4AD0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188970" cy="1792605"/>
                  <wp:effectExtent l="0" t="0" r="11430" b="10795"/>
                  <wp:docPr id="4" name="图片 4" descr="9c3033c4b9dbc88ae35af1b47de8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9c3033c4b9dbc88ae35af1b47de872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70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7539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FE903B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归一化数据</w:t>
            </w:r>
          </w:p>
        </w:tc>
        <w:tc>
          <w:tcPr>
            <w:tcW w:w="7364" w:type="dxa"/>
            <w:vMerge w:val="continue"/>
            <w:vAlign w:val="center"/>
          </w:tcPr>
          <w:p w14:paraId="493F2AA3">
            <w:pPr>
              <w:jc w:val="center"/>
            </w:pPr>
          </w:p>
        </w:tc>
      </w:tr>
    </w:tbl>
    <w:p w14:paraId="7CA659C5">
      <w:r>
        <w:rPr>
          <w:rFonts w:hint="eastAsia"/>
        </w:rPr>
        <w:t>2、参考例程软件仿真波形和示波器实测波形</w:t>
      </w:r>
    </w:p>
    <w:tbl>
      <w:tblPr>
        <w:tblStyle w:val="8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 w14:paraId="5D191B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14CED04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6DB0B5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73DB9B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数据源波形</w:t>
            </w:r>
          </w:p>
        </w:tc>
        <w:tc>
          <w:tcPr>
            <w:tcW w:w="7364" w:type="dxa"/>
            <w:vMerge w:val="restart"/>
            <w:vAlign w:val="center"/>
          </w:tcPr>
          <w:p w14:paraId="060AF6F4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3835400" cy="2876550"/>
                  <wp:effectExtent l="0" t="0" r="0" b="6350"/>
                  <wp:docPr id="21" name="图片 21" descr="2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_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26FF9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F1F69D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抽样后信号</w:t>
            </w:r>
          </w:p>
        </w:tc>
        <w:tc>
          <w:tcPr>
            <w:tcW w:w="7364" w:type="dxa"/>
            <w:vMerge w:val="continue"/>
            <w:vAlign w:val="center"/>
          </w:tcPr>
          <w:p w14:paraId="632CA2D7">
            <w:pPr>
              <w:jc w:val="center"/>
              <w:rPr>
                <w:b/>
              </w:rPr>
            </w:pPr>
          </w:p>
        </w:tc>
      </w:tr>
      <w:tr w14:paraId="3183F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CBDF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抽样后压缩特性</w:t>
            </w:r>
          </w:p>
        </w:tc>
        <w:tc>
          <w:tcPr>
            <w:tcW w:w="7364" w:type="dxa"/>
            <w:vAlign w:val="center"/>
          </w:tcPr>
          <w:p w14:paraId="7FB0824F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384040" cy="3288030"/>
                  <wp:effectExtent l="0" t="0" r="10160" b="1270"/>
                  <wp:docPr id="22" name="图片 22" descr="2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_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32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2F878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F58E4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量化后数据</w:t>
            </w:r>
          </w:p>
        </w:tc>
        <w:tc>
          <w:tcPr>
            <w:tcW w:w="7364" w:type="dxa"/>
            <w:vMerge w:val="restart"/>
            <w:vAlign w:val="center"/>
          </w:tcPr>
          <w:p w14:paraId="003EC42C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533900" cy="3400425"/>
                  <wp:effectExtent l="0" t="0" r="0" b="3175"/>
                  <wp:docPr id="23" name="图片 23" descr="2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_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AFFE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1306FB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量化误差</w:t>
            </w:r>
          </w:p>
        </w:tc>
        <w:tc>
          <w:tcPr>
            <w:tcW w:w="7364" w:type="dxa"/>
            <w:vMerge w:val="continue"/>
            <w:vAlign w:val="center"/>
          </w:tcPr>
          <w:p w14:paraId="0A39EB2E">
            <w:pPr>
              <w:jc w:val="center"/>
              <w:rPr>
                <w:b/>
              </w:rPr>
            </w:pPr>
          </w:p>
        </w:tc>
      </w:tr>
      <w:tr w14:paraId="600DE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6C244C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编码后数据</w:t>
            </w:r>
          </w:p>
        </w:tc>
        <w:tc>
          <w:tcPr>
            <w:tcW w:w="7364" w:type="dxa"/>
            <w:vMerge w:val="restart"/>
            <w:vAlign w:val="center"/>
          </w:tcPr>
          <w:p w14:paraId="15D679DE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3259455" cy="2444750"/>
                  <wp:effectExtent l="0" t="0" r="4445" b="6350"/>
                  <wp:docPr id="24" name="图片 24" descr="2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_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55" cy="244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01D04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FEA465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译码还原后数据</w:t>
            </w:r>
          </w:p>
        </w:tc>
        <w:tc>
          <w:tcPr>
            <w:tcW w:w="7364" w:type="dxa"/>
            <w:vMerge w:val="continue"/>
            <w:vAlign w:val="center"/>
          </w:tcPr>
          <w:p w14:paraId="2999108F">
            <w:pPr>
              <w:jc w:val="center"/>
            </w:pPr>
          </w:p>
        </w:tc>
      </w:tr>
      <w:tr w14:paraId="3E9B9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24327412">
            <w:pPr>
              <w:jc w:val="center"/>
            </w:pPr>
            <w:r>
              <w:rPr>
                <w:b/>
              </w:rPr>
              <w:t>示波器实测波形</w:t>
            </w:r>
            <w:r>
              <w:rPr>
                <w:rFonts w:hint="eastAsia"/>
                <w:b/>
              </w:rPr>
              <w:t>图</w:t>
            </w:r>
          </w:p>
        </w:tc>
      </w:tr>
      <w:tr w14:paraId="1D4CE6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16EFD1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归一化后输入数据</w:t>
            </w:r>
          </w:p>
        </w:tc>
        <w:tc>
          <w:tcPr>
            <w:tcW w:w="7364" w:type="dxa"/>
            <w:vMerge w:val="restart"/>
            <w:vAlign w:val="center"/>
          </w:tcPr>
          <w:p w14:paraId="49F02875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536440" cy="2550160"/>
                  <wp:effectExtent l="0" t="0" r="10160" b="2540"/>
                  <wp:docPr id="25" name="图片 25" descr="9c3033c4b9dbc88ae35af1b47de8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9c3033c4b9dbc88ae35af1b47de872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E9425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A42C99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归一化后压缩数据</w:t>
            </w:r>
          </w:p>
        </w:tc>
        <w:tc>
          <w:tcPr>
            <w:tcW w:w="7364" w:type="dxa"/>
            <w:vMerge w:val="continue"/>
            <w:vAlign w:val="center"/>
          </w:tcPr>
          <w:p w14:paraId="5F3C7CFF">
            <w:pPr>
              <w:jc w:val="center"/>
            </w:pPr>
          </w:p>
        </w:tc>
      </w:tr>
    </w:tbl>
    <w:p w14:paraId="04825592">
      <w:r>
        <w:rPr>
          <w:rFonts w:hint="eastAsia"/>
        </w:rPr>
        <w:t>3、学生编程软件仿真波形和示波器实测波形</w:t>
      </w:r>
    </w:p>
    <w:tbl>
      <w:tblPr>
        <w:tblStyle w:val="8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 w14:paraId="48BAE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171982C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221A43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4BF7C2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数据源波形</w:t>
            </w:r>
          </w:p>
        </w:tc>
        <w:tc>
          <w:tcPr>
            <w:tcW w:w="7364" w:type="dxa"/>
            <w:vMerge w:val="restart"/>
            <w:vAlign w:val="center"/>
          </w:tcPr>
          <w:p w14:paraId="010B1B12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251325" cy="3188335"/>
                  <wp:effectExtent l="0" t="0" r="3175" b="12065"/>
                  <wp:docPr id="12" name="图片 12" descr="3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3_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7DA58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8" w:hRule="atLeast"/>
        </w:trPr>
        <w:tc>
          <w:tcPr>
            <w:tcW w:w="1980" w:type="dxa"/>
            <w:vAlign w:val="center"/>
          </w:tcPr>
          <w:p w14:paraId="64A6F2A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抽样后信号</w:t>
            </w:r>
          </w:p>
        </w:tc>
        <w:tc>
          <w:tcPr>
            <w:tcW w:w="7364" w:type="dxa"/>
            <w:vMerge w:val="continue"/>
            <w:tcBorders/>
            <w:vAlign w:val="center"/>
          </w:tcPr>
          <w:p w14:paraId="73B7A8F9">
            <w:pPr>
              <w:jc w:val="center"/>
              <w:rPr>
                <w:b/>
              </w:rPr>
            </w:pPr>
          </w:p>
        </w:tc>
      </w:tr>
      <w:tr w14:paraId="754C4F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3E8AFCF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抽样后压缩特性</w:t>
            </w:r>
          </w:p>
        </w:tc>
        <w:tc>
          <w:tcPr>
            <w:tcW w:w="7364" w:type="dxa"/>
            <w:vMerge w:val="restart"/>
            <w:vAlign w:val="center"/>
          </w:tcPr>
          <w:p w14:paraId="75165874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3272790" cy="2450465"/>
                  <wp:effectExtent l="0" t="0" r="3810" b="635"/>
                  <wp:docPr id="26" name="图片 26" descr="3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_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9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D5A0A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B83871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量化后数据</w:t>
            </w:r>
          </w:p>
        </w:tc>
        <w:tc>
          <w:tcPr>
            <w:tcW w:w="7364" w:type="dxa"/>
            <w:vMerge w:val="continue"/>
            <w:tcBorders/>
            <w:vAlign w:val="center"/>
          </w:tcPr>
          <w:p w14:paraId="4FE34850">
            <w:pPr>
              <w:jc w:val="center"/>
              <w:rPr>
                <w:b/>
              </w:rPr>
            </w:pPr>
          </w:p>
        </w:tc>
      </w:tr>
      <w:tr w14:paraId="6A45DD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625801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量化误差</w:t>
            </w:r>
          </w:p>
        </w:tc>
        <w:tc>
          <w:tcPr>
            <w:tcW w:w="7364" w:type="dxa"/>
            <w:vAlign w:val="center"/>
          </w:tcPr>
          <w:p w14:paraId="65362C14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533900" cy="3400425"/>
                  <wp:effectExtent l="0" t="0" r="0" b="3175"/>
                  <wp:docPr id="28" name="图片 28" descr="3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3_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67575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5606F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编码后数据</w:t>
            </w:r>
          </w:p>
        </w:tc>
        <w:tc>
          <w:tcPr>
            <w:tcW w:w="7364" w:type="dxa"/>
            <w:vMerge w:val="restart"/>
            <w:vAlign w:val="center"/>
          </w:tcPr>
          <w:p w14:paraId="2F979D2C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bookmarkStart w:id="0" w:name="_GoBack"/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536440" cy="3396615"/>
                  <wp:effectExtent l="0" t="0" r="10160" b="6985"/>
                  <wp:docPr id="29" name="图片 29" descr="3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3_4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339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14:paraId="40625A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  <w:vAlign w:val="center"/>
          </w:tcPr>
          <w:p w14:paraId="43186C4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译码还原后的数据</w:t>
            </w:r>
          </w:p>
        </w:tc>
        <w:tc>
          <w:tcPr>
            <w:tcW w:w="7364" w:type="dxa"/>
            <w:vMerge w:val="continue"/>
            <w:tcBorders/>
            <w:vAlign w:val="center"/>
          </w:tcPr>
          <w:p w14:paraId="1AFEE9F7">
            <w:pPr>
              <w:jc w:val="center"/>
              <w:rPr>
                <w:b/>
              </w:rPr>
            </w:pPr>
          </w:p>
        </w:tc>
      </w:tr>
    </w:tbl>
    <w:p w14:paraId="03E1753F"/>
    <w:sectPr>
      <w:pgSz w:w="11906" w:h="16838"/>
      <w:pgMar w:top="1134" w:right="1134" w:bottom="1134" w:left="1418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B909EA"/>
    <w:multiLevelType w:val="multilevel"/>
    <w:tmpl w:val="3AB909E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085"/>
    <w:rsid w:val="00031430"/>
    <w:rsid w:val="00071085"/>
    <w:rsid w:val="00073B63"/>
    <w:rsid w:val="00080283"/>
    <w:rsid w:val="00096EA8"/>
    <w:rsid w:val="00161920"/>
    <w:rsid w:val="00187DE6"/>
    <w:rsid w:val="001E1781"/>
    <w:rsid w:val="001E5AB7"/>
    <w:rsid w:val="00206799"/>
    <w:rsid w:val="0022445E"/>
    <w:rsid w:val="002252D5"/>
    <w:rsid w:val="00294C89"/>
    <w:rsid w:val="002A068E"/>
    <w:rsid w:val="002D4FCB"/>
    <w:rsid w:val="004A79FA"/>
    <w:rsid w:val="004C26CC"/>
    <w:rsid w:val="00516E78"/>
    <w:rsid w:val="0055533A"/>
    <w:rsid w:val="005638B1"/>
    <w:rsid w:val="00573AB8"/>
    <w:rsid w:val="005820C7"/>
    <w:rsid w:val="005C62CC"/>
    <w:rsid w:val="005D4EEF"/>
    <w:rsid w:val="005E1267"/>
    <w:rsid w:val="005E410B"/>
    <w:rsid w:val="0060141A"/>
    <w:rsid w:val="0062789F"/>
    <w:rsid w:val="0064437D"/>
    <w:rsid w:val="00660084"/>
    <w:rsid w:val="00695814"/>
    <w:rsid w:val="006978C7"/>
    <w:rsid w:val="006B445C"/>
    <w:rsid w:val="00753062"/>
    <w:rsid w:val="007E746C"/>
    <w:rsid w:val="007E7521"/>
    <w:rsid w:val="007F013F"/>
    <w:rsid w:val="007F2029"/>
    <w:rsid w:val="00805E96"/>
    <w:rsid w:val="00820AFB"/>
    <w:rsid w:val="00826638"/>
    <w:rsid w:val="00870102"/>
    <w:rsid w:val="008A578F"/>
    <w:rsid w:val="008B08B0"/>
    <w:rsid w:val="009006CF"/>
    <w:rsid w:val="0093644B"/>
    <w:rsid w:val="00965670"/>
    <w:rsid w:val="009719DF"/>
    <w:rsid w:val="00984CCC"/>
    <w:rsid w:val="00992467"/>
    <w:rsid w:val="009A0799"/>
    <w:rsid w:val="00A102A4"/>
    <w:rsid w:val="00A654F7"/>
    <w:rsid w:val="00AB2103"/>
    <w:rsid w:val="00AE1144"/>
    <w:rsid w:val="00B05AB3"/>
    <w:rsid w:val="00B52D86"/>
    <w:rsid w:val="00B56D92"/>
    <w:rsid w:val="00B92803"/>
    <w:rsid w:val="00C20566"/>
    <w:rsid w:val="00C42729"/>
    <w:rsid w:val="00C536F3"/>
    <w:rsid w:val="00CB1785"/>
    <w:rsid w:val="00D53C6C"/>
    <w:rsid w:val="00D541A1"/>
    <w:rsid w:val="00D60EEC"/>
    <w:rsid w:val="00DA2CA5"/>
    <w:rsid w:val="00DB52E8"/>
    <w:rsid w:val="00E06D26"/>
    <w:rsid w:val="00E3200E"/>
    <w:rsid w:val="00E52259"/>
    <w:rsid w:val="00E5248B"/>
    <w:rsid w:val="00E72806"/>
    <w:rsid w:val="00E92E7D"/>
    <w:rsid w:val="00F17315"/>
    <w:rsid w:val="00F51079"/>
    <w:rsid w:val="00FB1AEB"/>
    <w:rsid w:val="00FD3032"/>
    <w:rsid w:val="00FD3BEF"/>
    <w:rsid w:val="04425A7A"/>
    <w:rsid w:val="04622C64"/>
    <w:rsid w:val="047C10E8"/>
    <w:rsid w:val="0F41461A"/>
    <w:rsid w:val="163F7C2B"/>
    <w:rsid w:val="1AEB4CD0"/>
    <w:rsid w:val="1CF33ECD"/>
    <w:rsid w:val="1F2629A0"/>
    <w:rsid w:val="261D0C22"/>
    <w:rsid w:val="27686199"/>
    <w:rsid w:val="2828560B"/>
    <w:rsid w:val="282A0E66"/>
    <w:rsid w:val="2DDF29F5"/>
    <w:rsid w:val="303C66FC"/>
    <w:rsid w:val="3DB06503"/>
    <w:rsid w:val="40F06F13"/>
    <w:rsid w:val="46F20E50"/>
    <w:rsid w:val="59141A17"/>
    <w:rsid w:val="59E53D27"/>
    <w:rsid w:val="61824CCE"/>
    <w:rsid w:val="683C10FB"/>
    <w:rsid w:val="6D9667BC"/>
    <w:rsid w:val="71355017"/>
    <w:rsid w:val="76764AC8"/>
    <w:rsid w:val="76C5511D"/>
    <w:rsid w:val="7C777E09"/>
    <w:rsid w:val="7EE2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jc w:val="center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customStyle="1" w:styleId="11">
    <w:name w:val="标题 2 字符"/>
    <w:basedOn w:val="9"/>
    <w:link w:val="2"/>
    <w:qFormat/>
    <w:uiPriority w:val="9"/>
    <w:rPr>
      <w:rFonts w:ascii="Times New Roman" w:hAnsi="Times New Roman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9"/>
    <w:link w:val="3"/>
    <w:qFormat/>
    <w:uiPriority w:val="9"/>
    <w:rPr>
      <w:rFonts w:ascii="Times New Roman" w:hAnsi="Times New Roman"/>
      <w:b/>
      <w:bCs/>
      <w:sz w:val="28"/>
      <w:szCs w:val="32"/>
    </w:rPr>
  </w:style>
  <w:style w:type="character" w:customStyle="1" w:styleId="13">
    <w:name w:val="页眉 字符"/>
    <w:basedOn w:val="9"/>
    <w:link w:val="5"/>
    <w:qFormat/>
    <w:uiPriority w:val="99"/>
    <w:rPr>
      <w:rFonts w:ascii="Times New Roman" w:hAnsi="Times New Roman"/>
      <w:sz w:val="18"/>
      <w:szCs w:val="18"/>
    </w:rPr>
  </w:style>
  <w:style w:type="character" w:customStyle="1" w:styleId="14">
    <w:name w:val="页脚 字符"/>
    <w:basedOn w:val="9"/>
    <w:link w:val="4"/>
    <w:qFormat/>
    <w:uiPriority w:val="99"/>
    <w:rPr>
      <w:rFonts w:ascii="Times New Roman" w:hAnsi="Times New Roman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image" Target="media/image53.png"/><Relationship Id="rId83" Type="http://schemas.openxmlformats.org/officeDocument/2006/relationships/image" Target="media/image52.png"/><Relationship Id="rId82" Type="http://schemas.openxmlformats.org/officeDocument/2006/relationships/image" Target="media/image51.png"/><Relationship Id="rId81" Type="http://schemas.openxmlformats.org/officeDocument/2006/relationships/image" Target="media/image50.png"/><Relationship Id="rId80" Type="http://schemas.openxmlformats.org/officeDocument/2006/relationships/image" Target="media/image49.png"/><Relationship Id="rId8" Type="http://schemas.openxmlformats.org/officeDocument/2006/relationships/image" Target="media/image2.png"/><Relationship Id="rId79" Type="http://schemas.openxmlformats.org/officeDocument/2006/relationships/image" Target="media/image48.png"/><Relationship Id="rId78" Type="http://schemas.openxmlformats.org/officeDocument/2006/relationships/image" Target="media/image47.png"/><Relationship Id="rId77" Type="http://schemas.openxmlformats.org/officeDocument/2006/relationships/image" Target="media/image46.png"/><Relationship Id="rId76" Type="http://schemas.openxmlformats.org/officeDocument/2006/relationships/image" Target="media/image45.jpeg"/><Relationship Id="rId75" Type="http://schemas.openxmlformats.org/officeDocument/2006/relationships/image" Target="media/image44.png"/><Relationship Id="rId74" Type="http://schemas.openxmlformats.org/officeDocument/2006/relationships/image" Target="media/image43.png"/><Relationship Id="rId73" Type="http://schemas.openxmlformats.org/officeDocument/2006/relationships/image" Target="media/image42.png"/><Relationship Id="rId72" Type="http://schemas.openxmlformats.org/officeDocument/2006/relationships/image" Target="media/image41.png"/><Relationship Id="rId71" Type="http://schemas.openxmlformats.org/officeDocument/2006/relationships/image" Target="media/image40.png"/><Relationship Id="rId70" Type="http://schemas.openxmlformats.org/officeDocument/2006/relationships/image" Target="media/image39.png"/><Relationship Id="rId7" Type="http://schemas.openxmlformats.org/officeDocument/2006/relationships/image" Target="media/image1.wmf"/><Relationship Id="rId69" Type="http://schemas.openxmlformats.org/officeDocument/2006/relationships/image" Target="media/image38.png"/><Relationship Id="rId68" Type="http://schemas.openxmlformats.org/officeDocument/2006/relationships/image" Target="media/image37.png"/><Relationship Id="rId67" Type="http://schemas.openxmlformats.org/officeDocument/2006/relationships/image" Target="media/image36.png"/><Relationship Id="rId66" Type="http://schemas.openxmlformats.org/officeDocument/2006/relationships/image" Target="media/image35.png"/><Relationship Id="rId65" Type="http://schemas.openxmlformats.org/officeDocument/2006/relationships/image" Target="media/image34.png"/><Relationship Id="rId64" Type="http://schemas.openxmlformats.org/officeDocument/2006/relationships/image" Target="media/image33.png"/><Relationship Id="rId63" Type="http://schemas.openxmlformats.org/officeDocument/2006/relationships/image" Target="media/image32.png"/><Relationship Id="rId62" Type="http://schemas.openxmlformats.org/officeDocument/2006/relationships/image" Target="media/image31.png"/><Relationship Id="rId61" Type="http://schemas.openxmlformats.org/officeDocument/2006/relationships/image" Target="media/image30.png"/><Relationship Id="rId60" Type="http://schemas.openxmlformats.org/officeDocument/2006/relationships/image" Target="media/image29.png"/><Relationship Id="rId6" Type="http://schemas.openxmlformats.org/officeDocument/2006/relationships/oleObject" Target="embeddings/oleObject1.bin"/><Relationship Id="rId59" Type="http://schemas.openxmlformats.org/officeDocument/2006/relationships/image" Target="media/image28.png"/><Relationship Id="rId58" Type="http://schemas.openxmlformats.org/officeDocument/2006/relationships/image" Target="media/image27.png"/><Relationship Id="rId57" Type="http://schemas.openxmlformats.org/officeDocument/2006/relationships/image" Target="media/image26.wmf"/><Relationship Id="rId56" Type="http://schemas.openxmlformats.org/officeDocument/2006/relationships/oleObject" Target="embeddings/oleObject26.bin"/><Relationship Id="rId55" Type="http://schemas.openxmlformats.org/officeDocument/2006/relationships/image" Target="media/image25.wmf"/><Relationship Id="rId54" Type="http://schemas.openxmlformats.org/officeDocument/2006/relationships/oleObject" Target="embeddings/oleObject25.bin"/><Relationship Id="rId53" Type="http://schemas.openxmlformats.org/officeDocument/2006/relationships/image" Target="media/image24.wmf"/><Relationship Id="rId52" Type="http://schemas.openxmlformats.org/officeDocument/2006/relationships/oleObject" Target="embeddings/oleObject24.bin"/><Relationship Id="rId51" Type="http://schemas.openxmlformats.org/officeDocument/2006/relationships/image" Target="media/image23.wmf"/><Relationship Id="rId50" Type="http://schemas.openxmlformats.org/officeDocument/2006/relationships/oleObject" Target="embeddings/oleObject23.bin"/><Relationship Id="rId5" Type="http://schemas.openxmlformats.org/officeDocument/2006/relationships/theme" Target="theme/theme1.xml"/><Relationship Id="rId49" Type="http://schemas.openxmlformats.org/officeDocument/2006/relationships/image" Target="media/image22.wmf"/><Relationship Id="rId48" Type="http://schemas.openxmlformats.org/officeDocument/2006/relationships/oleObject" Target="embeddings/oleObject22.bin"/><Relationship Id="rId47" Type="http://schemas.openxmlformats.org/officeDocument/2006/relationships/image" Target="media/image21.wmf"/><Relationship Id="rId46" Type="http://schemas.openxmlformats.org/officeDocument/2006/relationships/oleObject" Target="embeddings/oleObject21.bin"/><Relationship Id="rId45" Type="http://schemas.openxmlformats.org/officeDocument/2006/relationships/image" Target="media/image20.wmf"/><Relationship Id="rId44" Type="http://schemas.openxmlformats.org/officeDocument/2006/relationships/oleObject" Target="embeddings/oleObject20.bin"/><Relationship Id="rId43" Type="http://schemas.openxmlformats.org/officeDocument/2006/relationships/image" Target="media/image19.wmf"/><Relationship Id="rId42" Type="http://schemas.openxmlformats.org/officeDocument/2006/relationships/oleObject" Target="embeddings/oleObject19.bin"/><Relationship Id="rId41" Type="http://schemas.openxmlformats.org/officeDocument/2006/relationships/image" Target="media/image18.wmf"/><Relationship Id="rId40" Type="http://schemas.openxmlformats.org/officeDocument/2006/relationships/oleObject" Target="embeddings/oleObject18.bin"/><Relationship Id="rId4" Type="http://schemas.openxmlformats.org/officeDocument/2006/relationships/endnotes" Target="endnotes.xml"/><Relationship Id="rId39" Type="http://schemas.openxmlformats.org/officeDocument/2006/relationships/image" Target="media/image17.wmf"/><Relationship Id="rId38" Type="http://schemas.openxmlformats.org/officeDocument/2006/relationships/oleObject" Target="embeddings/oleObject17.bin"/><Relationship Id="rId37" Type="http://schemas.openxmlformats.org/officeDocument/2006/relationships/oleObject" Target="embeddings/oleObject16.bin"/><Relationship Id="rId36" Type="http://schemas.openxmlformats.org/officeDocument/2006/relationships/image" Target="media/image16.wmf"/><Relationship Id="rId35" Type="http://schemas.openxmlformats.org/officeDocument/2006/relationships/oleObject" Target="embeddings/oleObject15.bin"/><Relationship Id="rId34" Type="http://schemas.openxmlformats.org/officeDocument/2006/relationships/image" Target="media/image15.wmf"/><Relationship Id="rId33" Type="http://schemas.openxmlformats.org/officeDocument/2006/relationships/oleObject" Target="embeddings/oleObject14.bin"/><Relationship Id="rId32" Type="http://schemas.openxmlformats.org/officeDocument/2006/relationships/image" Target="media/image14.wmf"/><Relationship Id="rId31" Type="http://schemas.openxmlformats.org/officeDocument/2006/relationships/oleObject" Target="embeddings/oleObject13.bin"/><Relationship Id="rId30" Type="http://schemas.openxmlformats.org/officeDocument/2006/relationships/image" Target="media/image13.wmf"/><Relationship Id="rId3" Type="http://schemas.openxmlformats.org/officeDocument/2006/relationships/footnotes" Target="footnotes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0.wmf"/><Relationship Id="rId23" Type="http://schemas.openxmlformats.org/officeDocument/2006/relationships/oleObject" Target="embeddings/oleObject9.bin"/><Relationship Id="rId22" Type="http://schemas.openxmlformats.org/officeDocument/2006/relationships/image" Target="media/image9.wmf"/><Relationship Id="rId21" Type="http://schemas.openxmlformats.org/officeDocument/2006/relationships/oleObject" Target="embeddings/oleObject8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7.wmf"/><Relationship Id="rId17" Type="http://schemas.openxmlformats.org/officeDocument/2006/relationships/oleObject" Target="embeddings/oleObject6.bin"/><Relationship Id="rId16" Type="http://schemas.openxmlformats.org/officeDocument/2006/relationships/image" Target="media/image6.wmf"/><Relationship Id="rId15" Type="http://schemas.openxmlformats.org/officeDocument/2006/relationships/oleObject" Target="embeddings/oleObject5.bin"/><Relationship Id="rId14" Type="http://schemas.openxmlformats.org/officeDocument/2006/relationships/image" Target="media/image5.wmf"/><Relationship Id="rId13" Type="http://schemas.openxmlformats.org/officeDocument/2006/relationships/oleObject" Target="embeddings/oleObject4.bin"/><Relationship Id="rId12" Type="http://schemas.openxmlformats.org/officeDocument/2006/relationships/image" Target="media/image4.wmf"/><Relationship Id="rId11" Type="http://schemas.openxmlformats.org/officeDocument/2006/relationships/oleObject" Target="embeddings/oleObject3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4722</Words>
  <Characters>5362</Characters>
  <Lines>453</Lines>
  <Paragraphs>264</Paragraphs>
  <TotalTime>8</TotalTime>
  <ScaleCrop>false</ScaleCrop>
  <LinksUpToDate>false</LinksUpToDate>
  <CharactersWithSpaces>5474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2020-02-27T02:50:00Z</dcterms:created>
  <dc:creator>杨 满欣</dc:creator>
  <cp:lastModifiedBy>好运气</cp:lastModifiedBy>
  <dcterms:modified xsi:type="dcterms:W3CDTF">2025-03-20T03:07:28Z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CB547B8F28CF4CBAB50957DFCC123CA1</vt:lpwstr>
  </property>
  <property fmtid="{D5CDD505-2E9C-101B-9397-08002B2CF9AE}" pid="4" name="GrammarlyDocumentId">
    <vt:lpwstr>9bab1d6a4b7f89d86dd075ec40c908b93f491c4bc62f5460dc2ffca192cf5488</vt:lpwstr>
  </property>
  <property fmtid="{D5CDD505-2E9C-101B-9397-08002B2CF9AE}" pid="5" name="KSOTemplateDocerSaveRecord">
    <vt:lpwstr>eyJoZGlkIjoiYmI5YTJlZTc3YjhkZDRlMWYyODJlNTk3MGE5OWFhNjIiLCJ1c2VySWQiOiI3MDYyNTc4OTIifQ==</vt:lpwstr>
  </property>
</Properties>
</file>