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336F0E">
      <w:pPr>
        <w:rPr>
          <w:rFonts w:ascii="Tahoma" w:hAnsi="Tahoma" w:cs="Tahoma"/>
          <w:sz w:val="28"/>
          <w:szCs w:val="28"/>
        </w:rPr>
      </w:pPr>
    </w:p>
    <w:p w14:paraId="11ECB557">
      <w:pPr>
        <w:jc w:val="center"/>
        <w:rPr>
          <w:rFonts w:ascii="Tahoma" w:hAnsi="Tahoma" w:cs="Tahoma"/>
          <w:sz w:val="28"/>
          <w:szCs w:val="28"/>
        </w:rPr>
      </w:pPr>
      <w:r>
        <w:rPr>
          <w:rFonts w:ascii="Tahoma" w:hAnsi="Tahoma" w:cs="Tahoma"/>
          <w:sz w:val="28"/>
          <w:szCs w:val="28"/>
        </w:rPr>
        <w:drawing>
          <wp:inline distT="0" distB="0" distL="0" distR="0">
            <wp:extent cx="1866900" cy="1800225"/>
            <wp:effectExtent l="0" t="0" r="7620" b="13335"/>
            <wp:docPr id="11" name="图片 11"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ynu"/>
                    <pic:cNvPicPr>
                      <a:picLocks noChangeAspect="1" noChangeArrowheads="1"/>
                    </pic:cNvPicPr>
                  </pic:nvPicPr>
                  <pic:blipFill>
                    <a:blip r:embed="rId4"/>
                    <a:srcRect/>
                    <a:stretch>
                      <a:fillRect/>
                    </a:stretch>
                  </pic:blipFill>
                  <pic:spPr>
                    <a:xfrm>
                      <a:off x="0" y="0"/>
                      <a:ext cx="1866900" cy="1800225"/>
                    </a:xfrm>
                    <a:prstGeom prst="rect">
                      <a:avLst/>
                    </a:prstGeom>
                    <a:noFill/>
                    <a:ln>
                      <a:noFill/>
                    </a:ln>
                  </pic:spPr>
                </pic:pic>
              </a:graphicData>
            </a:graphic>
          </wp:inline>
        </w:drawing>
      </w:r>
    </w:p>
    <w:p w14:paraId="2E640311">
      <w:pPr>
        <w:jc w:val="center"/>
        <w:rPr>
          <w:rFonts w:ascii="楷体" w:hAnsi="楷体" w:eastAsia="楷体" w:cs="Tahoma"/>
          <w:sz w:val="72"/>
          <w:szCs w:val="72"/>
        </w:rPr>
      </w:pPr>
      <w:r>
        <w:rPr>
          <w:rFonts w:hint="eastAsia" w:ascii="楷体" w:hAnsi="楷体" w:eastAsia="楷体" w:cs="Tahoma"/>
          <w:sz w:val="72"/>
          <w:szCs w:val="72"/>
        </w:rPr>
        <w:t>202</w:t>
      </w:r>
      <w:r>
        <w:rPr>
          <w:rFonts w:hint="eastAsia" w:ascii="楷体" w:hAnsi="楷体" w:eastAsia="楷体" w:cs="Tahoma"/>
          <w:sz w:val="72"/>
          <w:szCs w:val="72"/>
          <w:lang w:val="en-US" w:eastAsia="zh-CN"/>
        </w:rPr>
        <w:t>5</w:t>
      </w:r>
      <w:r>
        <w:rPr>
          <w:rFonts w:hint="eastAsia" w:ascii="楷体" w:hAnsi="楷体" w:eastAsia="楷体" w:cs="Tahoma"/>
          <w:sz w:val="72"/>
          <w:szCs w:val="72"/>
        </w:rPr>
        <w:t>年春季学期</w:t>
      </w:r>
    </w:p>
    <w:p w14:paraId="6B1CC186">
      <w:pPr>
        <w:jc w:val="center"/>
        <w:rPr>
          <w:rFonts w:ascii="楷体" w:hAnsi="楷体" w:eastAsia="楷体" w:cs="Tahoma"/>
          <w:sz w:val="72"/>
          <w:szCs w:val="72"/>
        </w:rPr>
      </w:pPr>
      <w:r>
        <w:rPr>
          <w:rFonts w:hint="eastAsia" w:ascii="楷体" w:hAnsi="楷体" w:eastAsia="楷体" w:cs="Tahoma"/>
          <w:sz w:val="72"/>
          <w:szCs w:val="72"/>
        </w:rPr>
        <w:t>《网络计算技术》</w:t>
      </w:r>
    </w:p>
    <w:p w14:paraId="5E3F1D76">
      <w:pPr>
        <w:jc w:val="center"/>
        <w:rPr>
          <w:rFonts w:ascii="楷体" w:hAnsi="楷体" w:eastAsia="楷体" w:cs="Tahoma"/>
          <w:sz w:val="72"/>
          <w:szCs w:val="72"/>
        </w:rPr>
      </w:pPr>
      <w:r>
        <w:rPr>
          <w:rFonts w:hint="eastAsia" w:ascii="楷体" w:hAnsi="楷体" w:eastAsia="楷体" w:cs="Tahoma"/>
          <w:sz w:val="72"/>
          <w:szCs w:val="72"/>
        </w:rPr>
        <w:t>期末</w:t>
      </w:r>
      <w:r>
        <w:rPr>
          <w:rFonts w:hint="eastAsia" w:ascii="楷体" w:hAnsi="楷体" w:eastAsia="楷体" w:cs="Tahoma"/>
          <w:sz w:val="72"/>
          <w:szCs w:val="72"/>
          <w:lang w:val="en-US" w:eastAsia="zh-CN"/>
        </w:rPr>
        <w:t>课程</w:t>
      </w:r>
      <w:r>
        <w:rPr>
          <w:rFonts w:hint="eastAsia" w:ascii="楷体" w:hAnsi="楷体" w:eastAsia="楷体" w:cs="Tahoma"/>
          <w:sz w:val="72"/>
          <w:szCs w:val="72"/>
        </w:rPr>
        <w:t>报告</w:t>
      </w:r>
    </w:p>
    <w:p w14:paraId="43AFB12A">
      <w:pPr>
        <w:rPr>
          <w:rFonts w:ascii="楷体" w:hAnsi="楷体" w:eastAsia="楷体" w:cs="Tahoma"/>
          <w:sz w:val="72"/>
          <w:szCs w:val="72"/>
        </w:rPr>
      </w:pPr>
    </w:p>
    <w:p w14:paraId="0F2482EA">
      <w:pPr>
        <w:ind w:firstLine="900" w:firstLineChars="300"/>
        <w:rPr>
          <w:rFonts w:ascii="Tahoma" w:hAnsi="Tahoma" w:cs="Tahoma"/>
          <w:sz w:val="30"/>
          <w:szCs w:val="30"/>
          <w:u w:val="single"/>
        </w:rPr>
      </w:pPr>
      <w:r>
        <w:rPr>
          <w:rFonts w:hint="eastAsia" w:ascii="Tahoma" w:hAnsi="Tahoma" w:cs="Tahoma"/>
          <w:sz w:val="30"/>
          <w:szCs w:val="30"/>
        </w:rPr>
        <w:t>专    业：</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p>
    <w:p w14:paraId="1225776F">
      <w:pPr>
        <w:ind w:firstLine="900" w:firstLineChars="300"/>
        <w:rPr>
          <w:rFonts w:ascii="Tahoma" w:hAnsi="Tahoma" w:cs="Tahoma"/>
          <w:sz w:val="30"/>
          <w:szCs w:val="30"/>
        </w:rPr>
      </w:pPr>
      <w:r>
        <w:rPr>
          <w:rFonts w:hint="eastAsia" w:ascii="Tahoma" w:hAnsi="Tahoma" w:cs="Tahoma"/>
          <w:sz w:val="30"/>
          <w:szCs w:val="30"/>
        </w:rPr>
        <w:t>年    级：</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ascii="Tahoma" w:hAnsi="Tahoma" w:cs="Tahoma"/>
          <w:sz w:val="30"/>
          <w:szCs w:val="30"/>
          <w:u w:val="single"/>
        </w:rPr>
        <w:t xml:space="preserve">         </w:t>
      </w:r>
    </w:p>
    <w:p w14:paraId="2323637D">
      <w:pPr>
        <w:ind w:firstLine="900" w:firstLineChars="300"/>
        <w:rPr>
          <w:rFonts w:ascii="Tahoma" w:hAnsi="Tahoma" w:cs="Tahoma"/>
          <w:sz w:val="30"/>
          <w:szCs w:val="30"/>
          <w:u w:val="single"/>
        </w:rPr>
      </w:pPr>
      <w:r>
        <w:rPr>
          <w:rFonts w:hint="eastAsia" w:ascii="Tahoma" w:hAnsi="Tahoma" w:cs="Tahoma"/>
          <w:sz w:val="30"/>
          <w:szCs w:val="30"/>
        </w:rPr>
        <w:t>学    号：</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p>
    <w:p w14:paraId="53D5B4EA">
      <w:pPr>
        <w:ind w:firstLine="900" w:firstLineChars="300"/>
        <w:rPr>
          <w:rFonts w:ascii="Tahoma" w:hAnsi="Tahoma" w:cs="Tahoma"/>
          <w:sz w:val="30"/>
          <w:szCs w:val="30"/>
          <w:u w:val="single"/>
        </w:rPr>
      </w:pPr>
      <w:r>
        <w:rPr>
          <w:rFonts w:hint="eastAsia" w:ascii="Tahoma" w:hAnsi="Tahoma" w:cs="Tahoma"/>
          <w:sz w:val="30"/>
          <w:szCs w:val="30"/>
        </w:rPr>
        <w:t>姓    名：</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p>
    <w:p w14:paraId="5BFAFAA8">
      <w:pPr>
        <w:rPr>
          <w:rFonts w:ascii="Tahoma" w:hAnsi="Tahoma" w:cs="Tahoma"/>
          <w:sz w:val="30"/>
          <w:szCs w:val="30"/>
        </w:rPr>
      </w:pPr>
    </w:p>
    <w:p w14:paraId="492FED9B">
      <w:pPr>
        <w:ind w:firstLine="3000" w:firstLineChars="1000"/>
        <w:rPr>
          <w:rFonts w:ascii="Tahoma" w:hAnsi="Tahoma" w:cs="Tahoma"/>
          <w:sz w:val="30"/>
          <w:szCs w:val="30"/>
        </w:rPr>
      </w:pPr>
    </w:p>
    <w:p w14:paraId="20CF9E66">
      <w:pPr>
        <w:ind w:firstLine="3000" w:firstLineChars="1000"/>
        <w:rPr>
          <w:rFonts w:ascii="Tahoma" w:hAnsi="Tahoma" w:cs="Tahoma"/>
          <w:sz w:val="30"/>
          <w:szCs w:val="30"/>
        </w:rPr>
      </w:pPr>
    </w:p>
    <w:p w14:paraId="23C2CFDA">
      <w:pPr>
        <w:ind w:firstLine="3000" w:firstLineChars="1000"/>
        <w:rPr>
          <w:rFonts w:ascii="Tahoma" w:hAnsi="Tahoma" w:cs="Tahoma"/>
          <w:sz w:val="30"/>
          <w:szCs w:val="30"/>
        </w:rPr>
      </w:pPr>
    </w:p>
    <w:p w14:paraId="2BD6C7CF">
      <w:pPr>
        <w:ind w:firstLine="3000" w:firstLineChars="1000"/>
        <w:rPr>
          <w:rFonts w:ascii="Tahoma" w:hAnsi="Tahoma" w:cs="Tahoma"/>
          <w:sz w:val="30"/>
          <w:szCs w:val="30"/>
        </w:rPr>
      </w:pPr>
    </w:p>
    <w:p w14:paraId="725CC964">
      <w:pPr>
        <w:jc w:val="center"/>
        <w:rPr>
          <w:rFonts w:ascii="Tahoma" w:hAnsi="Tahoma" w:cs="Tahoma"/>
          <w:sz w:val="30"/>
          <w:szCs w:val="30"/>
        </w:rPr>
      </w:pPr>
      <w:r>
        <w:rPr>
          <w:rFonts w:ascii="Tahoma" w:hAnsi="Tahoma" w:cs="Tahoma"/>
          <w:sz w:val="30"/>
          <w:szCs w:val="30"/>
        </w:rPr>
        <w:t>202</w:t>
      </w:r>
      <w:r>
        <w:rPr>
          <w:rFonts w:hint="eastAsia" w:ascii="Tahoma" w:hAnsi="Tahoma" w:cs="Tahoma"/>
          <w:sz w:val="30"/>
          <w:szCs w:val="30"/>
          <w:lang w:val="en-US" w:eastAsia="zh-CN"/>
        </w:rPr>
        <w:t>5</w:t>
      </w:r>
      <w:r>
        <w:rPr>
          <w:rFonts w:hint="eastAsia" w:ascii="Tahoma" w:hAnsi="Tahoma" w:cs="Tahoma"/>
          <w:sz w:val="30"/>
          <w:szCs w:val="30"/>
        </w:rPr>
        <w:t>年4月</w:t>
      </w:r>
    </w:p>
    <w:p w14:paraId="1ACD8DE4">
      <w:pPr>
        <w:widowControl/>
        <w:jc w:val="left"/>
      </w:pPr>
      <w:r>
        <w:rPr>
          <w:rFonts w:hint="eastAsia"/>
        </w:rPr>
        <w:t>说明：</w:t>
      </w:r>
    </w:p>
    <w:p w14:paraId="73466A03">
      <w:pPr>
        <w:widowControl/>
        <w:numPr>
          <w:ilvl w:val="0"/>
          <w:numId w:val="1"/>
        </w:numPr>
        <w:jc w:val="left"/>
      </w:pPr>
      <w:r>
        <w:rPr>
          <w:rFonts w:hint="eastAsia"/>
        </w:rPr>
        <w:t>期末报告是课程成绩考核的重要组成部分，在综合成绩中占比60%，请大家认真、独立完成</w:t>
      </w:r>
      <w:r>
        <w:rPr>
          <w:rFonts w:hint="eastAsia"/>
          <w:lang w:eastAsia="zh-CN"/>
        </w:rPr>
        <w:t>，</w:t>
      </w:r>
      <w:r>
        <w:rPr>
          <w:rFonts w:hint="eastAsia"/>
          <w:color w:val="FF0000"/>
          <w:lang w:val="en-US" w:eastAsia="zh-CN"/>
        </w:rPr>
        <w:t>严禁使用chatGPT类型应用生成答案</w:t>
      </w:r>
      <w:r>
        <w:rPr>
          <w:rFonts w:hint="eastAsia"/>
        </w:rPr>
        <w:t>。</w:t>
      </w:r>
    </w:p>
    <w:p w14:paraId="0D227C2D">
      <w:pPr>
        <w:widowControl/>
        <w:numPr>
          <w:ilvl w:val="0"/>
          <w:numId w:val="1"/>
        </w:numPr>
        <w:jc w:val="left"/>
      </w:pPr>
      <w:r>
        <w:rPr>
          <w:rFonts w:hint="eastAsia"/>
        </w:rPr>
        <w:t>请将文件名修改为“</w:t>
      </w:r>
      <w:r>
        <w:rPr>
          <w:rFonts w:hint="eastAsia"/>
          <w:color w:val="FF0000"/>
        </w:rPr>
        <w:t>学号</w:t>
      </w:r>
      <w:r>
        <w:rPr>
          <w:rFonts w:hint="eastAsia"/>
          <w:color w:val="FF0000"/>
          <w:lang w:val="en-US" w:eastAsia="zh-CN"/>
        </w:rPr>
        <w:t>-</w:t>
      </w:r>
      <w:r>
        <w:rPr>
          <w:rFonts w:hint="eastAsia"/>
          <w:color w:val="FF0000"/>
        </w:rPr>
        <w:t>姓名</w:t>
      </w:r>
      <w:r>
        <w:rPr>
          <w:rFonts w:hint="eastAsia"/>
          <w:lang w:val="en-US" w:eastAsia="zh-CN"/>
        </w:rPr>
        <w:t>-网络计算技术-期末课程报告.</w:t>
      </w:r>
      <w:r>
        <w:rPr>
          <w:rFonts w:hint="eastAsia"/>
        </w:rPr>
        <w:t>docx”。实验报告完成后，按期将</w:t>
      </w:r>
      <w:r>
        <w:rPr>
          <w:rFonts w:hint="eastAsia"/>
          <w:color w:val="FF0000"/>
        </w:rPr>
        <w:t>电子版</w:t>
      </w:r>
      <w:r>
        <w:rPr>
          <w:rFonts w:hint="eastAsia"/>
        </w:rPr>
        <w:t>和</w:t>
      </w:r>
      <w:r>
        <w:rPr>
          <w:rFonts w:hint="eastAsia"/>
          <w:color w:val="FF0000"/>
        </w:rPr>
        <w:t>纸质版</w:t>
      </w:r>
      <w:r>
        <w:rPr>
          <w:rFonts w:hint="eastAsia"/>
        </w:rPr>
        <w:t>交给班长。</w:t>
      </w:r>
    </w:p>
    <w:p w14:paraId="6B079575">
      <w:pPr>
        <w:widowControl/>
        <w:jc w:val="left"/>
      </w:pPr>
    </w:p>
    <w:p w14:paraId="4736704C">
      <w:pPr>
        <w:widowControl/>
        <w:jc w:val="left"/>
      </w:pPr>
    </w:p>
    <w:p w14:paraId="3BF0B7E4">
      <w:pPr>
        <w:widowControl/>
        <w:numPr>
          <w:ilvl w:val="0"/>
          <w:numId w:val="0"/>
        </w:numPr>
        <w:jc w:val="left"/>
        <w:rPr>
          <w:rFonts w:hint="eastAsia"/>
          <w:b/>
          <w:bCs/>
          <w:color w:val="000000"/>
          <w:sz w:val="24"/>
        </w:rPr>
      </w:pPr>
    </w:p>
    <w:p w14:paraId="5E4312EE">
      <w:pPr>
        <w:widowControl/>
        <w:numPr>
          <w:ilvl w:val="0"/>
          <w:numId w:val="0"/>
        </w:numPr>
        <w:jc w:val="left"/>
        <w:rPr>
          <w:b/>
          <w:bCs/>
          <w:color w:val="000000"/>
          <w:sz w:val="24"/>
        </w:rPr>
      </w:pPr>
      <w:r>
        <w:rPr>
          <w:rFonts w:hint="eastAsia"/>
          <w:b/>
          <w:bCs/>
          <w:color w:val="000000"/>
          <w:sz w:val="24"/>
          <w:lang w:val="en-US" w:eastAsia="zh-CN"/>
        </w:rPr>
        <w:t>一、</w:t>
      </w:r>
      <w:r>
        <w:rPr>
          <w:rFonts w:hint="eastAsia"/>
          <w:b/>
          <w:bCs/>
          <w:color w:val="000000"/>
          <w:sz w:val="24"/>
        </w:rPr>
        <w:t>什么是边缘计算（Edge computing）？为何要在5G网络中引入边缘计算技术？引入边缘计算技术之后的5G网络架构是什么？电信营运商采用移动边缘计算技术之后对未来业务的影响。(1</w:t>
      </w:r>
      <w:r>
        <w:rPr>
          <w:rFonts w:hint="eastAsia"/>
          <w:b/>
          <w:bCs/>
          <w:color w:val="000000"/>
          <w:sz w:val="24"/>
          <w:lang w:val="en-US" w:eastAsia="zh-CN"/>
        </w:rPr>
        <w:t>5</w:t>
      </w:r>
      <w:r>
        <w:rPr>
          <w:rFonts w:hint="eastAsia"/>
          <w:b/>
          <w:bCs/>
          <w:color w:val="000000"/>
          <w:sz w:val="24"/>
        </w:rPr>
        <w:t>分)</w:t>
      </w:r>
    </w:p>
    <w:p w14:paraId="31E8CDD1">
      <w:pPr>
        <w:jc w:val="center"/>
      </w:pPr>
    </w:p>
    <w:p w14:paraId="3AD09B19">
      <w:pPr>
        <w:widowControl/>
        <w:jc w:val="left"/>
        <w:rPr>
          <w:color w:val="000000"/>
          <w:sz w:val="24"/>
        </w:rPr>
      </w:pPr>
      <w:r>
        <w:rPr>
          <w:rFonts w:hint="eastAsia"/>
          <w:color w:val="000000"/>
          <w:sz w:val="24"/>
        </w:rPr>
        <w:t>答：</w:t>
      </w:r>
    </w:p>
    <w:p w14:paraId="70E0F36C">
      <w:pPr>
        <w:widowControl/>
        <w:jc w:val="left"/>
      </w:pPr>
    </w:p>
    <w:p w14:paraId="7A21FEC8">
      <w:pPr>
        <w:widowControl/>
        <w:jc w:val="left"/>
      </w:pPr>
    </w:p>
    <w:p w14:paraId="74214585">
      <w:pPr>
        <w:widowControl/>
        <w:jc w:val="left"/>
      </w:pPr>
    </w:p>
    <w:p w14:paraId="354134D5">
      <w:pPr>
        <w:widowControl/>
        <w:jc w:val="left"/>
      </w:pPr>
    </w:p>
    <w:p w14:paraId="13936D11">
      <w:pPr>
        <w:widowControl/>
        <w:jc w:val="left"/>
      </w:pPr>
    </w:p>
    <w:p w14:paraId="1C33F2FB">
      <w:pPr>
        <w:widowControl/>
        <w:jc w:val="left"/>
      </w:pPr>
    </w:p>
    <w:p w14:paraId="51B402B2">
      <w:pPr>
        <w:widowControl/>
        <w:jc w:val="left"/>
      </w:pPr>
    </w:p>
    <w:p w14:paraId="01A4216B">
      <w:pPr>
        <w:widowControl/>
        <w:jc w:val="left"/>
      </w:pPr>
    </w:p>
    <w:p w14:paraId="421BFB12">
      <w:pPr>
        <w:widowControl/>
        <w:jc w:val="left"/>
      </w:pPr>
    </w:p>
    <w:p w14:paraId="09AA1706">
      <w:pPr>
        <w:widowControl/>
        <w:jc w:val="left"/>
      </w:pPr>
    </w:p>
    <w:p w14:paraId="02F78F43">
      <w:pPr>
        <w:widowControl/>
        <w:jc w:val="left"/>
      </w:pPr>
    </w:p>
    <w:p w14:paraId="76383128">
      <w:pPr>
        <w:widowControl/>
        <w:jc w:val="left"/>
        <w:rPr>
          <w:b/>
          <w:bCs/>
          <w:color w:val="000000"/>
          <w:sz w:val="24"/>
        </w:rPr>
      </w:pPr>
      <w:r>
        <w:rPr>
          <w:rFonts w:hint="eastAsia"/>
          <w:b/>
          <w:bCs/>
          <w:color w:val="000000"/>
          <w:sz w:val="24"/>
          <w:lang w:val="en-US" w:eastAsia="zh-CN"/>
        </w:rPr>
        <w:t>二、</w:t>
      </w:r>
      <w:r>
        <w:rPr>
          <w:rFonts w:hint="eastAsia"/>
          <w:b/>
          <w:bCs/>
          <w:color w:val="000000"/>
          <w:sz w:val="24"/>
        </w:rPr>
        <w:t>计算卸载是边缘计算的一个主要功能。假定用户A上的一个任务需要卸载到边缘服务器E运行，该任务由用户数据D1 (Mbit)和应用程序D2 (Mbit)两个部分组成，用户到边缘服务器的距离是L (km), 上行链路带宽为B1 Mbps，而边缘服务器到用户的下行链路带宽为B2 Mbps，边缘服务器的计算能力是 C (MI/s,即百万指令每秒），该应用程序所需运行的指令数C2 =D2*k（MI,即百万指令）。该应用程序在边缘服务器计算完成之后，会产生结果数据D3 (Mbit)需要从边缘服务器经过下行链路传回用户。请分析从用户向边缘服务器提交任务开始到接收完执行结果的过程，并分析其中每个阶段的时间开销。（提示：传输时间分析过程参考计算机网络课程中的传播时延、传输时延的计算过程。）（</w:t>
      </w:r>
      <w:r>
        <w:rPr>
          <w:rFonts w:hint="eastAsia"/>
          <w:b/>
          <w:bCs/>
          <w:color w:val="000000"/>
          <w:sz w:val="24"/>
          <w:lang w:val="en-US" w:eastAsia="zh-CN"/>
        </w:rPr>
        <w:t>15</w:t>
      </w:r>
      <w:r>
        <w:rPr>
          <w:rFonts w:hint="eastAsia"/>
          <w:b/>
          <w:bCs/>
          <w:color w:val="000000"/>
          <w:sz w:val="24"/>
        </w:rPr>
        <w:t>分）</w:t>
      </w:r>
    </w:p>
    <w:p w14:paraId="00E9155F">
      <w:pPr>
        <w:widowControl/>
        <w:jc w:val="left"/>
        <w:rPr>
          <w:color w:val="000000"/>
          <w:sz w:val="24"/>
        </w:rPr>
      </w:pPr>
      <w:r>
        <w:rPr>
          <w:rFonts w:hint="eastAsia"/>
          <w:color w:val="000000"/>
          <w:sz w:val="24"/>
        </w:rPr>
        <w:t>答：</w:t>
      </w:r>
    </w:p>
    <w:p w14:paraId="64DB0D69">
      <w:pPr>
        <w:widowControl/>
        <w:jc w:val="left"/>
      </w:pPr>
    </w:p>
    <w:p w14:paraId="4C98A78E">
      <w:pPr>
        <w:widowControl/>
        <w:jc w:val="left"/>
      </w:pPr>
    </w:p>
    <w:p w14:paraId="19F6A584">
      <w:pPr>
        <w:widowControl/>
        <w:jc w:val="left"/>
      </w:pPr>
    </w:p>
    <w:p w14:paraId="3292C656">
      <w:pPr>
        <w:widowControl/>
        <w:jc w:val="left"/>
      </w:pPr>
    </w:p>
    <w:p w14:paraId="2D09D2AC">
      <w:pPr>
        <w:widowControl/>
        <w:jc w:val="left"/>
      </w:pPr>
    </w:p>
    <w:p w14:paraId="5FE91C08">
      <w:pPr>
        <w:widowControl/>
        <w:jc w:val="left"/>
        <w:rPr>
          <w:color w:val="000000" w:themeColor="text1"/>
          <w14:textFill>
            <w14:solidFill>
              <w14:schemeClr w14:val="tx1"/>
            </w14:solidFill>
          </w14:textFill>
        </w:rPr>
      </w:pPr>
    </w:p>
    <w:p w14:paraId="17B66885">
      <w:pPr>
        <w:widowControl/>
        <w:jc w:val="left"/>
        <w:rPr>
          <w:color w:val="000000" w:themeColor="text1"/>
          <w14:textFill>
            <w14:solidFill>
              <w14:schemeClr w14:val="tx1"/>
            </w14:solidFill>
          </w14:textFill>
        </w:rPr>
      </w:pPr>
    </w:p>
    <w:p w14:paraId="6B572D47">
      <w:pPr>
        <w:widowControl/>
        <w:jc w:val="left"/>
        <w:rPr>
          <w:color w:val="000000" w:themeColor="text1"/>
          <w14:textFill>
            <w14:solidFill>
              <w14:schemeClr w14:val="tx1"/>
            </w14:solidFill>
          </w14:textFill>
        </w:rPr>
      </w:pPr>
    </w:p>
    <w:p w14:paraId="54DA64B4">
      <w:pPr>
        <w:widowControl/>
        <w:jc w:val="left"/>
        <w:rPr>
          <w:color w:val="000000" w:themeColor="text1"/>
          <w14:textFill>
            <w14:solidFill>
              <w14:schemeClr w14:val="tx1"/>
            </w14:solidFill>
          </w14:textFill>
        </w:rPr>
      </w:pPr>
    </w:p>
    <w:p w14:paraId="63D74C9B">
      <w:pPr>
        <w:widowControl/>
        <w:jc w:val="left"/>
      </w:pPr>
    </w:p>
    <w:p w14:paraId="0C0AB766">
      <w:pPr>
        <w:widowControl/>
        <w:jc w:val="left"/>
      </w:pPr>
    </w:p>
    <w:p w14:paraId="294DBB72">
      <w:pPr>
        <w:widowControl/>
        <w:jc w:val="left"/>
      </w:pPr>
    </w:p>
    <w:p w14:paraId="70DCFE15">
      <w:pPr>
        <w:widowControl/>
        <w:jc w:val="left"/>
        <w:rPr>
          <w:b/>
          <w:bCs/>
          <w:color w:val="000000"/>
          <w:sz w:val="24"/>
        </w:rPr>
      </w:pPr>
      <w:r>
        <w:rPr>
          <w:rFonts w:hint="eastAsia"/>
          <w:b/>
          <w:bCs/>
          <w:color w:val="000000"/>
          <w:sz w:val="24"/>
        </w:rPr>
        <w:t>三、5G网络采用了服务化架构SBA（Service Based Architecture），请对5G SBA架构中的主要功能组件进行分析，</w:t>
      </w:r>
      <w:r>
        <w:rPr>
          <w:rFonts w:hint="eastAsia"/>
          <w:b/>
          <w:bCs/>
          <w:color w:val="000000"/>
          <w:sz w:val="24"/>
          <w:lang w:val="en-US" w:eastAsia="zh-CN"/>
        </w:rPr>
        <w:t>说明仅在核心网</w:t>
      </w:r>
      <w:r>
        <w:rPr>
          <w:rFonts w:hint="eastAsia"/>
          <w:b/>
          <w:bCs/>
          <w:color w:val="000000"/>
          <w:sz w:val="24"/>
        </w:rPr>
        <w:t>采用SBA架构</w:t>
      </w:r>
      <w:r>
        <w:rPr>
          <w:rFonts w:hint="eastAsia"/>
          <w:b/>
          <w:bCs/>
          <w:color w:val="000000"/>
          <w:sz w:val="24"/>
          <w:lang w:eastAsia="zh-CN"/>
        </w:rPr>
        <w:t>，</w:t>
      </w:r>
      <w:r>
        <w:rPr>
          <w:rFonts w:hint="eastAsia"/>
          <w:b/>
          <w:bCs/>
          <w:color w:val="000000"/>
          <w:sz w:val="24"/>
          <w:lang w:val="en-US" w:eastAsia="zh-CN"/>
        </w:rPr>
        <w:t>而接入网还是采用传统架构时存在的</w:t>
      </w:r>
      <w:r>
        <w:rPr>
          <w:rFonts w:hint="eastAsia"/>
          <w:b/>
          <w:bCs/>
          <w:color w:val="000000"/>
          <w:sz w:val="24"/>
        </w:rPr>
        <w:t>不足</w:t>
      </w:r>
      <w:r>
        <w:rPr>
          <w:rFonts w:hint="eastAsia"/>
          <w:b/>
          <w:bCs/>
          <w:color w:val="000000"/>
          <w:sz w:val="24"/>
          <w:lang w:eastAsia="zh-CN"/>
        </w:rPr>
        <w:t>，</w:t>
      </w:r>
      <w:r>
        <w:rPr>
          <w:rFonts w:hint="eastAsia"/>
          <w:b/>
          <w:bCs/>
          <w:color w:val="000000"/>
          <w:sz w:val="24"/>
          <w:lang w:val="en-US" w:eastAsia="zh-CN"/>
        </w:rPr>
        <w:t>并分析如何在6G网络中实现接入网和核心网的全服务化架构</w:t>
      </w:r>
      <w:r>
        <w:rPr>
          <w:rFonts w:hint="eastAsia"/>
          <w:b/>
          <w:bCs/>
          <w:color w:val="000000"/>
          <w:sz w:val="24"/>
        </w:rPr>
        <w:t>。（1</w:t>
      </w:r>
      <w:r>
        <w:rPr>
          <w:rFonts w:hint="eastAsia"/>
          <w:b/>
          <w:bCs/>
          <w:color w:val="000000"/>
          <w:sz w:val="24"/>
          <w:lang w:val="en-US" w:eastAsia="zh-CN"/>
        </w:rPr>
        <w:t>5</w:t>
      </w:r>
      <w:r>
        <w:rPr>
          <w:rFonts w:hint="eastAsia"/>
          <w:b/>
          <w:bCs/>
          <w:color w:val="000000"/>
          <w:sz w:val="24"/>
        </w:rPr>
        <w:t>分）</w:t>
      </w:r>
    </w:p>
    <w:p w14:paraId="6A94A4AF">
      <w:pPr>
        <w:widowControl/>
        <w:jc w:val="center"/>
        <w:rPr>
          <w:color w:val="000000"/>
          <w:sz w:val="24"/>
        </w:rPr>
      </w:pPr>
      <w:r>
        <w:rPr>
          <w:rFonts w:ascii="宋体" w:hAnsi="宋体" w:eastAsia="宋体" w:cs="宋体"/>
          <w:sz w:val="24"/>
        </w:rPr>
        <w:drawing>
          <wp:inline distT="0" distB="0" distL="114300" distR="114300">
            <wp:extent cx="4724400" cy="261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rcRect l="12697" r="14075"/>
                    <a:stretch>
                      <a:fillRect/>
                    </a:stretch>
                  </pic:blipFill>
                  <pic:spPr>
                    <a:xfrm>
                      <a:off x="0" y="0"/>
                      <a:ext cx="4724400" cy="2616200"/>
                    </a:xfrm>
                    <a:prstGeom prst="rect">
                      <a:avLst/>
                    </a:prstGeom>
                    <a:noFill/>
                    <a:ln w="9525">
                      <a:noFill/>
                    </a:ln>
                  </pic:spPr>
                </pic:pic>
              </a:graphicData>
            </a:graphic>
          </wp:inline>
        </w:drawing>
      </w:r>
    </w:p>
    <w:p w14:paraId="66062E84">
      <w:pPr>
        <w:widowControl/>
        <w:jc w:val="left"/>
        <w:rPr>
          <w:color w:val="000000"/>
          <w:sz w:val="24"/>
        </w:rPr>
      </w:pPr>
      <w:r>
        <w:rPr>
          <w:rFonts w:hint="eastAsia"/>
          <w:color w:val="000000"/>
          <w:sz w:val="24"/>
        </w:rPr>
        <w:t>答：</w:t>
      </w:r>
    </w:p>
    <w:p w14:paraId="25283519">
      <w:pPr>
        <w:widowControl/>
        <w:jc w:val="left"/>
        <w:rPr>
          <w:rFonts w:hint="eastAsia"/>
          <w:color w:val="000000"/>
          <w:sz w:val="24"/>
        </w:rPr>
      </w:pPr>
    </w:p>
    <w:p w14:paraId="7487D0EF">
      <w:pPr>
        <w:widowControl/>
        <w:jc w:val="left"/>
        <w:rPr>
          <w:rFonts w:hint="eastAsia"/>
          <w:color w:val="000000"/>
          <w:sz w:val="24"/>
        </w:rPr>
      </w:pPr>
    </w:p>
    <w:p w14:paraId="1B7DF373">
      <w:pPr>
        <w:widowControl/>
        <w:jc w:val="left"/>
        <w:rPr>
          <w:rFonts w:hint="eastAsia"/>
          <w:color w:val="000000"/>
          <w:sz w:val="24"/>
        </w:rPr>
      </w:pPr>
    </w:p>
    <w:p w14:paraId="0AFF0B0F">
      <w:pPr>
        <w:widowControl/>
        <w:jc w:val="left"/>
        <w:rPr>
          <w:rFonts w:hint="eastAsia"/>
          <w:color w:val="000000"/>
          <w:sz w:val="24"/>
        </w:rPr>
      </w:pPr>
    </w:p>
    <w:p w14:paraId="7C519371">
      <w:pPr>
        <w:widowControl/>
        <w:jc w:val="left"/>
        <w:rPr>
          <w:color w:val="000000"/>
          <w:sz w:val="24"/>
        </w:rPr>
      </w:pPr>
    </w:p>
    <w:p w14:paraId="7D330F60">
      <w:pPr>
        <w:widowControl/>
        <w:jc w:val="left"/>
        <w:rPr>
          <w:color w:val="000000"/>
          <w:sz w:val="24"/>
        </w:rPr>
      </w:pPr>
    </w:p>
    <w:p w14:paraId="406A848C">
      <w:pPr>
        <w:widowControl/>
        <w:jc w:val="left"/>
        <w:rPr>
          <w:color w:val="000000"/>
          <w:sz w:val="24"/>
        </w:rPr>
      </w:pPr>
    </w:p>
    <w:p w14:paraId="6141B9C9">
      <w:pPr>
        <w:widowControl/>
        <w:jc w:val="left"/>
        <w:rPr>
          <w:color w:val="000000"/>
          <w:sz w:val="24"/>
        </w:rPr>
      </w:pPr>
    </w:p>
    <w:p w14:paraId="6DDC12F5">
      <w:pPr>
        <w:widowControl/>
        <w:jc w:val="left"/>
        <w:rPr>
          <w:color w:val="000000"/>
          <w:sz w:val="24"/>
        </w:rPr>
      </w:pPr>
    </w:p>
    <w:p w14:paraId="75D80A3C">
      <w:pPr>
        <w:widowControl/>
        <w:jc w:val="left"/>
        <w:rPr>
          <w:color w:val="000000"/>
          <w:sz w:val="24"/>
        </w:rPr>
      </w:pPr>
    </w:p>
    <w:p w14:paraId="335D4782">
      <w:pPr>
        <w:widowControl/>
        <w:jc w:val="left"/>
        <w:rPr>
          <w:color w:val="000000"/>
          <w:sz w:val="24"/>
        </w:rPr>
      </w:pPr>
    </w:p>
    <w:p w14:paraId="3DD4E96B">
      <w:pPr>
        <w:widowControl/>
        <w:jc w:val="left"/>
        <w:rPr>
          <w:color w:val="000000"/>
          <w:sz w:val="24"/>
        </w:rPr>
      </w:pPr>
    </w:p>
    <w:p w14:paraId="742C8A3A">
      <w:pPr>
        <w:widowControl/>
        <w:jc w:val="left"/>
        <w:rPr>
          <w:color w:val="000000"/>
          <w:sz w:val="24"/>
        </w:rPr>
      </w:pPr>
    </w:p>
    <w:p w14:paraId="77DD57BC">
      <w:pPr>
        <w:widowControl/>
        <w:jc w:val="left"/>
        <w:rPr>
          <w:color w:val="000000"/>
          <w:sz w:val="24"/>
        </w:rPr>
      </w:pPr>
    </w:p>
    <w:p w14:paraId="096432FF">
      <w:pPr>
        <w:widowControl/>
        <w:jc w:val="left"/>
        <w:rPr>
          <w:color w:val="000000"/>
          <w:sz w:val="24"/>
        </w:rPr>
      </w:pPr>
    </w:p>
    <w:p w14:paraId="0770AEDD">
      <w:pPr>
        <w:widowControl/>
        <w:jc w:val="left"/>
        <w:rPr>
          <w:color w:val="000000"/>
          <w:sz w:val="24"/>
        </w:rPr>
      </w:pPr>
    </w:p>
    <w:p w14:paraId="051F0F45">
      <w:pPr>
        <w:widowControl/>
        <w:numPr>
          <w:ilvl w:val="0"/>
          <w:numId w:val="2"/>
        </w:numPr>
        <w:jc w:val="left"/>
        <w:rPr>
          <w:rFonts w:hint="eastAsia"/>
          <w:b/>
          <w:bCs/>
          <w:color w:val="000000"/>
          <w:sz w:val="24"/>
          <w:lang w:val="en-US" w:eastAsia="zh-CN"/>
        </w:rPr>
      </w:pPr>
      <w:r>
        <w:rPr>
          <w:rFonts w:hint="eastAsia"/>
          <w:b/>
          <w:bCs/>
          <w:color w:val="000000"/>
          <w:sz w:val="24"/>
          <w:lang w:val="en-US" w:eastAsia="zh-CN"/>
        </w:rPr>
        <w:t>在ITU发布的《</w:t>
      </w:r>
      <w:r>
        <w:rPr>
          <w:rFonts w:hint="eastAsia"/>
          <w:b/>
          <w:bCs/>
          <w:color w:val="000000"/>
          <w:sz w:val="24"/>
        </w:rPr>
        <w:t>Framework and overall objectives of the future development of IMT for 2030 and beyond</w:t>
      </w:r>
      <w:r>
        <w:rPr>
          <w:rFonts w:hint="eastAsia"/>
          <w:b/>
          <w:bCs/>
          <w:color w:val="000000"/>
          <w:sz w:val="24"/>
          <w:lang w:val="en-US" w:eastAsia="zh-CN"/>
        </w:rPr>
        <w:t>》（</w:t>
      </w:r>
      <w:r>
        <w:rPr>
          <w:rFonts w:hint="eastAsia"/>
          <w:b/>
          <w:bCs/>
          <w:color w:val="000000"/>
          <w:sz w:val="24"/>
        </w:rPr>
        <w:t>Recommendation ITU-R M.2160-0</w:t>
      </w:r>
      <w:r>
        <w:rPr>
          <w:rFonts w:hint="eastAsia"/>
          <w:b/>
          <w:bCs/>
          <w:color w:val="000000"/>
          <w:sz w:val="24"/>
          <w:lang w:eastAsia="zh-CN"/>
        </w:rPr>
        <w:t>）</w:t>
      </w:r>
      <w:r>
        <w:rPr>
          <w:rFonts w:hint="eastAsia"/>
          <w:b/>
          <w:bCs/>
          <w:color w:val="000000"/>
          <w:sz w:val="24"/>
          <w:lang w:val="en-US" w:eastAsia="zh-CN"/>
        </w:rPr>
        <w:t>中，给出了6G的6种应用场景，请对这6种场景进行分析，并重点说明6G应用场景和5G应用场景的主要区别。（15分）</w:t>
      </w:r>
    </w:p>
    <w:p w14:paraId="6CA120D3">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r>
        <w:drawing>
          <wp:inline distT="0" distB="0" distL="114300" distR="114300">
            <wp:extent cx="5265420" cy="2868930"/>
            <wp:effectExtent l="0" t="0" r="190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5420" cy="2868930"/>
                    </a:xfrm>
                    <a:prstGeom prst="rect">
                      <a:avLst/>
                    </a:prstGeom>
                    <a:noFill/>
                    <a:ln>
                      <a:noFill/>
                    </a:ln>
                  </pic:spPr>
                </pic:pic>
              </a:graphicData>
            </a:graphic>
          </wp:inline>
        </w:drawing>
      </w:r>
    </w:p>
    <w:p w14:paraId="19C3A0A3">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5D0F1C22">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274675CE">
      <w:pPr>
        <w:pStyle w:val="6"/>
        <w:keepNext w:val="0"/>
        <w:keepLines w:val="0"/>
        <w:pageBreakBefore w:val="0"/>
        <w:widowControl/>
        <w:numPr>
          <w:ilvl w:val="0"/>
          <w:numId w:val="0"/>
        </w:numPr>
        <w:suppressLineNumbers w:val="0"/>
        <w:kinsoku/>
        <w:wordWrap/>
        <w:overflowPunct/>
        <w:topLinePunct w:val="0"/>
        <w:autoSpaceDE/>
        <w:autoSpaceDN/>
        <w:bidi w:val="0"/>
        <w:adjustRightInd/>
        <w:snapToGrid/>
        <w:textAlignment w:val="auto"/>
        <w:rPr>
          <w:rFonts w:hint="eastAsia" w:ascii="宋体" w:hAnsi="宋体" w:cs="宋体" w:eastAsiaTheme="minorEastAsia"/>
          <w:b/>
          <w:kern w:val="2"/>
          <w:sz w:val="24"/>
          <w:szCs w:val="24"/>
          <w:lang w:val="en-US" w:eastAsia="zh-CN" w:bidi="ar-SA"/>
        </w:rPr>
      </w:pPr>
      <w:r>
        <w:rPr>
          <w:rFonts w:hint="eastAsia"/>
          <w:b/>
          <w:bCs/>
          <w:lang w:val="en-US" w:eastAsia="zh-CN"/>
        </w:rPr>
        <w:t>五</w:t>
      </w:r>
      <w:r>
        <w:rPr>
          <w:rFonts w:hint="eastAsia"/>
          <w:b/>
          <w:bCs/>
        </w:rPr>
        <w:t>、</w:t>
      </w:r>
      <w:r>
        <w:rPr>
          <w:rFonts w:hint="eastAsia" w:ascii="宋体" w:hAnsi="宋体" w:cs="宋体" w:eastAsiaTheme="minorEastAsia"/>
          <w:b/>
          <w:kern w:val="2"/>
          <w:sz w:val="24"/>
          <w:szCs w:val="24"/>
          <w:lang w:val="en-US" w:eastAsia="zh-CN" w:bidi="ar-SA"/>
        </w:rPr>
        <w:t>传统物理层技术主要基于数学模型和信号处理算法，例如正交频分复用（OFDM）、正交幅度调制（QAM）、信道编码（如Turbo码、LDPC码）等。这些技术在设计时通常需要对信道特性做出一些假设，例如信道是线性的、时不变的等。然而，实际的无线信道环境非常复杂和动态，这些假设往往难以完全成立。而AI使能的物理层技术则利用机器学习算法，通过大量的数据训练来学习信道特性和信号特征，从而实现更优的性能。</w:t>
      </w:r>
    </w:p>
    <w:p w14:paraId="758DE6B2">
      <w:pPr>
        <w:pStyle w:val="6"/>
        <w:keepNext w:val="0"/>
        <w:keepLines w:val="0"/>
        <w:widowControl/>
        <w:numPr>
          <w:ilvl w:val="0"/>
          <w:numId w:val="3"/>
        </w:numPr>
        <w:suppressLineNumbers w:val="0"/>
        <w:ind w:right="0" w:rightChars="0"/>
        <w:rPr>
          <w:rFonts w:hint="default"/>
          <w:lang w:val="en-US"/>
        </w:rPr>
      </w:pPr>
      <w:r>
        <w:rPr>
          <w:rFonts w:hint="eastAsia" w:ascii="宋体" w:hAnsi="宋体" w:cs="宋体" w:eastAsiaTheme="minorEastAsia"/>
          <w:b/>
          <w:kern w:val="2"/>
          <w:sz w:val="24"/>
          <w:szCs w:val="24"/>
          <w:lang w:val="en-US" w:eastAsia="zh-CN" w:bidi="ar-SA"/>
        </w:rPr>
        <w:t>为何要在6G网络物理层引入AI技术？</w:t>
      </w:r>
      <w:r>
        <w:rPr>
          <w:rFonts w:hint="eastAsia" w:cs="宋体" w:eastAsiaTheme="minorEastAsia"/>
          <w:b/>
          <w:kern w:val="2"/>
          <w:sz w:val="24"/>
          <w:szCs w:val="24"/>
          <w:lang w:val="en-US" w:eastAsia="zh-CN" w:bidi="ar-SA"/>
        </w:rPr>
        <w:t>（10分）</w:t>
      </w:r>
    </w:p>
    <w:p w14:paraId="42D95D1C">
      <w:pPr>
        <w:pStyle w:val="6"/>
        <w:keepNext w:val="0"/>
        <w:keepLines w:val="0"/>
        <w:widowControl/>
        <w:numPr>
          <w:ilvl w:val="0"/>
          <w:numId w:val="3"/>
        </w:numPr>
        <w:suppressLineNumbers w:val="0"/>
        <w:ind w:right="0" w:rightChars="0"/>
        <w:rPr>
          <w:rFonts w:hint="default"/>
          <w:lang w:val="en-US"/>
        </w:rPr>
      </w:pPr>
      <w:r>
        <w:rPr>
          <w:rFonts w:hint="eastAsia" w:ascii="宋体" w:hAnsi="宋体" w:cs="宋体"/>
          <w:b/>
          <w:kern w:val="2"/>
          <w:sz w:val="24"/>
          <w:szCs w:val="24"/>
          <w:lang w:val="en-US" w:eastAsia="zh-CN" w:bidi="ar-SA"/>
        </w:rPr>
        <w:t>以信道编码为例，说明传统的信道编码方案和基于AI的编码方案在设计思路上有什么区别？</w:t>
      </w:r>
      <w:r>
        <w:rPr>
          <w:rFonts w:hint="eastAsia" w:cs="宋体"/>
          <w:b/>
          <w:kern w:val="2"/>
          <w:sz w:val="24"/>
          <w:szCs w:val="24"/>
          <w:lang w:val="en-US" w:eastAsia="zh-CN" w:bidi="ar-SA"/>
        </w:rPr>
        <w:t>（10分）</w:t>
      </w:r>
    </w:p>
    <w:p w14:paraId="625DF07A">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3A4AB080">
      <w:pPr>
        <w:widowControl/>
        <w:jc w:val="left"/>
        <w:rPr>
          <w:color w:val="000000"/>
          <w:sz w:val="24"/>
        </w:rPr>
      </w:pPr>
    </w:p>
    <w:p w14:paraId="192BB5DF">
      <w:pPr>
        <w:widowControl/>
        <w:jc w:val="left"/>
        <w:rPr>
          <w:color w:val="000000"/>
          <w:sz w:val="24"/>
        </w:rPr>
      </w:pPr>
    </w:p>
    <w:p w14:paraId="16FE1FBD">
      <w:pPr>
        <w:widowControl/>
        <w:jc w:val="left"/>
        <w:rPr>
          <w:color w:val="000000"/>
          <w:sz w:val="24"/>
        </w:rPr>
      </w:pPr>
    </w:p>
    <w:p w14:paraId="5776364A">
      <w:pPr>
        <w:widowControl/>
        <w:jc w:val="left"/>
        <w:rPr>
          <w:color w:val="000000"/>
          <w:sz w:val="24"/>
        </w:rPr>
      </w:pPr>
    </w:p>
    <w:p w14:paraId="03A744EC">
      <w:pPr>
        <w:widowControl/>
        <w:jc w:val="left"/>
        <w:rPr>
          <w:color w:val="000000"/>
          <w:sz w:val="24"/>
        </w:rPr>
      </w:pPr>
    </w:p>
    <w:p w14:paraId="116474C5">
      <w:pPr>
        <w:widowControl/>
        <w:jc w:val="left"/>
        <w:rPr>
          <w:color w:val="000000"/>
          <w:sz w:val="24"/>
        </w:rPr>
      </w:pPr>
    </w:p>
    <w:p w14:paraId="45BC4246">
      <w:pPr>
        <w:widowControl/>
        <w:jc w:val="left"/>
        <w:rPr>
          <w:color w:val="000000"/>
          <w:sz w:val="24"/>
        </w:rPr>
      </w:pPr>
    </w:p>
    <w:p w14:paraId="0EC30B74">
      <w:pPr>
        <w:widowControl/>
        <w:jc w:val="left"/>
        <w:rPr>
          <w:color w:val="000000"/>
          <w:sz w:val="24"/>
        </w:rPr>
      </w:pPr>
    </w:p>
    <w:p w14:paraId="3FADE267">
      <w:pPr>
        <w:widowControl/>
        <w:jc w:val="left"/>
        <w:rPr>
          <w:color w:val="000000"/>
          <w:sz w:val="24"/>
        </w:rPr>
      </w:pPr>
    </w:p>
    <w:p w14:paraId="76748C22">
      <w:pPr>
        <w:widowControl/>
        <w:jc w:val="left"/>
        <w:rPr>
          <w:color w:val="000000"/>
          <w:sz w:val="24"/>
        </w:rPr>
      </w:pPr>
    </w:p>
    <w:p w14:paraId="1098B117">
      <w:pPr>
        <w:widowControl/>
        <w:jc w:val="left"/>
        <w:rPr>
          <w:rFonts w:hint="eastAsia"/>
        </w:rPr>
      </w:pPr>
    </w:p>
    <w:p w14:paraId="2DA1FD30">
      <w:pPr>
        <w:widowControl/>
        <w:jc w:val="left"/>
        <w:rPr>
          <w:rFonts w:hint="default" w:eastAsiaTheme="minorEastAsia"/>
          <w:b/>
          <w:bCs/>
          <w:sz w:val="24"/>
          <w:szCs w:val="32"/>
          <w:lang w:val="en-US" w:eastAsia="zh-CN"/>
        </w:rPr>
      </w:pPr>
      <w:r>
        <w:rPr>
          <w:rFonts w:hint="eastAsia"/>
          <w:b/>
          <w:bCs/>
          <w:sz w:val="24"/>
          <w:szCs w:val="32"/>
          <w:lang w:val="en-US" w:eastAsia="zh-CN"/>
        </w:rPr>
        <w:t>六</w:t>
      </w:r>
      <w:r>
        <w:rPr>
          <w:rFonts w:hint="eastAsia"/>
          <w:b/>
          <w:bCs/>
          <w:sz w:val="24"/>
          <w:szCs w:val="32"/>
        </w:rPr>
        <w:t>、在基于蜂窝网的边缘计算环境中，如何部署边缘服务器是一个重要问题。假定有一个5km*5 km的地理区域，每个基站的的覆盖范围是半径R=500m的圆形区域，移动用户在网络中均匀分布。</w:t>
      </w:r>
    </w:p>
    <w:p w14:paraId="15AB3301">
      <w:pPr>
        <w:widowControl/>
        <w:jc w:val="left"/>
        <w:rPr>
          <w:rFonts w:hint="eastAsia"/>
          <w:b/>
          <w:bCs/>
          <w:sz w:val="24"/>
          <w:szCs w:val="32"/>
        </w:rPr>
      </w:pPr>
      <w:r>
        <w:rPr>
          <w:rFonts w:hint="eastAsia"/>
          <w:b/>
          <w:bCs/>
          <w:sz w:val="24"/>
          <w:szCs w:val="32"/>
        </w:rPr>
        <w:t>（1）请问在该网络中最少应该部署多少个基站才能完成无缝覆盖？请给出具体的理论分析和部署算法，然后给出给定部署算法下每个基站所在位置的坐标；(1</w:t>
      </w:r>
      <w:r>
        <w:rPr>
          <w:rFonts w:hint="eastAsia"/>
          <w:b/>
          <w:bCs/>
          <w:sz w:val="24"/>
          <w:szCs w:val="32"/>
          <w:lang w:val="en-US" w:eastAsia="zh-CN"/>
        </w:rPr>
        <w:t>0</w:t>
      </w:r>
      <w:r>
        <w:rPr>
          <w:rFonts w:hint="eastAsia"/>
          <w:b/>
          <w:bCs/>
          <w:sz w:val="24"/>
          <w:szCs w:val="32"/>
        </w:rPr>
        <w:t>分)</w:t>
      </w:r>
    </w:p>
    <w:p w14:paraId="7F523D93">
      <w:pPr>
        <w:widowControl/>
        <w:jc w:val="left"/>
        <w:rPr>
          <w:rFonts w:hint="eastAsia"/>
          <w:b/>
          <w:bCs/>
          <w:sz w:val="24"/>
          <w:szCs w:val="32"/>
        </w:rPr>
      </w:pPr>
    </w:p>
    <w:p w14:paraId="7469E4A7">
      <w:pPr>
        <w:widowControl/>
        <w:jc w:val="left"/>
        <w:rPr>
          <w:b/>
          <w:bCs/>
          <w:sz w:val="24"/>
          <w:szCs w:val="32"/>
        </w:rPr>
      </w:pPr>
      <w:r>
        <w:rPr>
          <w:rFonts w:hint="eastAsia"/>
          <w:b/>
          <w:bCs/>
          <w:sz w:val="24"/>
          <w:szCs w:val="32"/>
        </w:rPr>
        <w:t>（2）假定边缘服务器需要和基站共站部署（即将边缘服务器放置在基站所在位置的机房中），每个边缘服务器能够容纳不超过3个基站的用户使用，请问应该最少部署多少个边缘服务器才能满足要求？应该将这些边缘服务器分别放在什么位置才比较合理？（提示：考虑课本8.2节边缘服务器部署问题相关算法。）（</w:t>
      </w:r>
      <w:r>
        <w:rPr>
          <w:rFonts w:hint="eastAsia"/>
          <w:b/>
          <w:bCs/>
          <w:sz w:val="24"/>
          <w:szCs w:val="32"/>
          <w:lang w:val="en-US" w:eastAsia="zh-CN"/>
        </w:rPr>
        <w:t>10</w:t>
      </w:r>
      <w:r>
        <w:rPr>
          <w:rFonts w:hint="eastAsia"/>
          <w:b/>
          <w:bCs/>
          <w:sz w:val="24"/>
          <w:szCs w:val="32"/>
        </w:rPr>
        <w:t>分）</w:t>
      </w:r>
    </w:p>
    <w:p w14:paraId="2E9E10A9">
      <w:pPr>
        <w:widowControl/>
        <w:jc w:val="left"/>
        <w:rPr>
          <w:rFonts w:hint="eastAsia"/>
          <w:sz w:val="24"/>
          <w:szCs w:val="32"/>
        </w:rPr>
      </w:pPr>
      <w:r>
        <w:rPr>
          <w:rFonts w:hint="eastAsia"/>
          <w:sz w:val="24"/>
          <w:szCs w:val="32"/>
        </w:rPr>
        <w:t>答：</w:t>
      </w:r>
      <w:r>
        <w:rPr>
          <w:rFonts w:hint="eastAsia"/>
          <w:sz w:val="24"/>
          <w:szCs w:val="32"/>
          <w:lang w:eastAsia="zh-CN"/>
        </w:rPr>
        <w:t>（</w:t>
      </w:r>
      <w:r>
        <w:rPr>
          <w:rFonts w:hint="eastAsia"/>
          <w:sz w:val="24"/>
          <w:szCs w:val="32"/>
          <w:lang w:val="en-US" w:eastAsia="zh-CN"/>
        </w:rPr>
        <w:t>代码截图</w:t>
      </w:r>
      <w:bookmarkStart w:id="0" w:name="_GoBack"/>
      <w:bookmarkEnd w:id="0"/>
      <w:r>
        <w:rPr>
          <w:rFonts w:hint="eastAsia"/>
          <w:sz w:val="24"/>
          <w:szCs w:val="32"/>
          <w:lang w:eastAsia="zh-CN"/>
        </w:rPr>
        <w:t>）</w:t>
      </w:r>
    </w:p>
    <w:p w14:paraId="325CEC97">
      <w:pPr>
        <w:widowControl/>
        <w:jc w:val="left"/>
        <w:rPr>
          <w:rFonts w:hint="eastAsia"/>
          <w:sz w:val="24"/>
          <w:szCs w:val="32"/>
        </w:rPr>
      </w:pPr>
    </w:p>
    <w:p w14:paraId="1997E575">
      <w:pPr>
        <w:widowControl/>
        <w:jc w:val="left"/>
        <w:rPr>
          <w:rFonts w:hint="eastAsia"/>
          <w:sz w:val="24"/>
          <w:szCs w:val="32"/>
        </w:rPr>
      </w:pPr>
    </w:p>
    <w:p w14:paraId="4BC7A6C1">
      <w:pPr>
        <w:widowControl/>
        <w:jc w:val="left"/>
        <w:rPr>
          <w:rFonts w:hint="eastAsia"/>
          <w:sz w:val="24"/>
          <w:szCs w:val="32"/>
        </w:rPr>
      </w:pPr>
    </w:p>
    <w:p w14:paraId="014F3B02">
      <w:pPr>
        <w:widowControl/>
        <w:jc w:val="left"/>
        <w:rPr>
          <w:rFonts w:hint="eastAsia"/>
          <w:sz w:val="24"/>
          <w:szCs w:val="32"/>
        </w:rPr>
      </w:pPr>
    </w:p>
    <w:p w14:paraId="28391668">
      <w:pPr>
        <w:widowControl/>
        <w:jc w:val="left"/>
        <w:rPr>
          <w:rFonts w:hint="eastAsia"/>
          <w:b/>
          <w:bCs/>
          <w:sz w:val="24"/>
          <w:szCs w:val="32"/>
        </w:rPr>
      </w:pPr>
    </w:p>
    <w:p w14:paraId="72AF3CFA">
      <w:pPr>
        <w:widowControl/>
        <w:jc w:val="left"/>
        <w:rPr>
          <w:rFonts w:hint="eastAsia"/>
          <w:b/>
          <w:bCs/>
          <w:sz w:val="24"/>
          <w:szCs w:val="32"/>
        </w:rPr>
      </w:pPr>
    </w:p>
    <w:p w14:paraId="3C99E394">
      <w:pPr>
        <w:widowControl/>
        <w:numPr>
          <w:ilvl w:val="0"/>
          <w:numId w:val="0"/>
        </w:numPr>
        <w:spacing w:line="360" w:lineRule="auto"/>
        <w:jc w:val="left"/>
        <w:rPr>
          <w:rFonts w:hint="eastAsia"/>
          <w:b/>
          <w:bCs/>
          <w:sz w:val="24"/>
          <w:szCs w:val="32"/>
          <w:lang w:val="en-US" w:eastAsia="zh-CN"/>
        </w:rPr>
      </w:pPr>
      <w:r>
        <w:rPr>
          <w:rFonts w:hint="eastAsia"/>
          <w:b/>
          <w:bCs/>
          <w:sz w:val="24"/>
          <w:szCs w:val="32"/>
          <w:lang w:val="en-US" w:eastAsia="zh-CN"/>
        </w:rPr>
        <w:t>附加题：本门课程的目的是在现有通信工程专业课程的基础上，针对5G、6G的云化和AI化发展趋势，为大家介绍云计算、5G边缘计算、通信和AI融合等领域的基础理论和关键技术，并开展Linux操作系统、Docker、AWS云计算等相关的实践教学。作为本专业学生，请基于本课程所学习的内容，思考6G网络在未来5至10年的发展趋势、潜在应用场景和关键技术，分析本专业学生在后续的学习和未来工作中应该采取什么措施才能适应这种变化？并据此思考你自己在未来的学习和职业发展规划。</w:t>
      </w:r>
    </w:p>
    <w:p w14:paraId="2D44D061">
      <w:pPr>
        <w:widowControl/>
        <w:numPr>
          <w:ilvl w:val="0"/>
          <w:numId w:val="0"/>
        </w:numPr>
        <w:spacing w:line="360" w:lineRule="auto"/>
        <w:jc w:val="left"/>
        <w:rPr>
          <w:rFonts w:hint="default"/>
          <w:b/>
          <w:bCs/>
          <w:sz w:val="24"/>
          <w:szCs w:val="32"/>
          <w:lang w:val="en-US" w:eastAsia="zh-CN"/>
        </w:rPr>
      </w:pPr>
      <w:r>
        <w:rPr>
          <w:rFonts w:hint="eastAsia"/>
          <w:b/>
          <w:bCs/>
          <w:sz w:val="24"/>
          <w:szCs w:val="32"/>
          <w:lang w:val="en-US" w:eastAsia="zh-CN"/>
        </w:rPr>
        <w:t>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74C08"/>
    <w:multiLevelType w:val="singleLevel"/>
    <w:tmpl w:val="A7874C08"/>
    <w:lvl w:ilvl="0" w:tentative="0">
      <w:start w:val="1"/>
      <w:numFmt w:val="decimal"/>
      <w:suff w:val="nothing"/>
      <w:lvlText w:val="（%1）"/>
      <w:lvlJc w:val="left"/>
    </w:lvl>
  </w:abstractNum>
  <w:abstractNum w:abstractNumId="1">
    <w:nsid w:val="CB815E70"/>
    <w:multiLevelType w:val="singleLevel"/>
    <w:tmpl w:val="CB815E70"/>
    <w:lvl w:ilvl="0" w:tentative="0">
      <w:start w:val="1"/>
      <w:numFmt w:val="decimal"/>
      <w:lvlText w:val="(%1)"/>
      <w:lvlJc w:val="left"/>
      <w:pPr>
        <w:tabs>
          <w:tab w:val="left" w:pos="312"/>
        </w:tabs>
      </w:pPr>
    </w:lvl>
  </w:abstractNum>
  <w:abstractNum w:abstractNumId="2">
    <w:nsid w:val="EABEE59C"/>
    <w:multiLevelType w:val="singleLevel"/>
    <w:tmpl w:val="EABEE59C"/>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yZDA5NTRlMThkNGY3NWMzMGFmMTU1MWQ2MTY3OTkifQ=="/>
  </w:docVars>
  <w:rsids>
    <w:rsidRoot w:val="008367B8"/>
    <w:rsid w:val="00013F99"/>
    <w:rsid w:val="002E01C1"/>
    <w:rsid w:val="00355920"/>
    <w:rsid w:val="004374AC"/>
    <w:rsid w:val="00520ACA"/>
    <w:rsid w:val="0055797B"/>
    <w:rsid w:val="007221BD"/>
    <w:rsid w:val="007668AE"/>
    <w:rsid w:val="007C4F3B"/>
    <w:rsid w:val="008367B8"/>
    <w:rsid w:val="008F1A9B"/>
    <w:rsid w:val="00CC1D47"/>
    <w:rsid w:val="00D6405F"/>
    <w:rsid w:val="00DC4B18"/>
    <w:rsid w:val="00E16FE2"/>
    <w:rsid w:val="00E72481"/>
    <w:rsid w:val="00E73A66"/>
    <w:rsid w:val="00EE1CF8"/>
    <w:rsid w:val="00F431B9"/>
    <w:rsid w:val="012C5FFC"/>
    <w:rsid w:val="01A87AFF"/>
    <w:rsid w:val="01DE2D5F"/>
    <w:rsid w:val="02021905"/>
    <w:rsid w:val="02025BDC"/>
    <w:rsid w:val="02337D11"/>
    <w:rsid w:val="027D687D"/>
    <w:rsid w:val="0284056C"/>
    <w:rsid w:val="02B36437"/>
    <w:rsid w:val="03B31109"/>
    <w:rsid w:val="04727719"/>
    <w:rsid w:val="05A827C4"/>
    <w:rsid w:val="06FE46FD"/>
    <w:rsid w:val="070271D2"/>
    <w:rsid w:val="087C32C1"/>
    <w:rsid w:val="08A47272"/>
    <w:rsid w:val="08E9737B"/>
    <w:rsid w:val="0946032A"/>
    <w:rsid w:val="09862E1C"/>
    <w:rsid w:val="0A6842D0"/>
    <w:rsid w:val="0A7669ED"/>
    <w:rsid w:val="0A906611"/>
    <w:rsid w:val="0AA277E2"/>
    <w:rsid w:val="0AEA2FDD"/>
    <w:rsid w:val="0B883A47"/>
    <w:rsid w:val="0C1724B8"/>
    <w:rsid w:val="0C774C9E"/>
    <w:rsid w:val="0DB25F8E"/>
    <w:rsid w:val="0E15476E"/>
    <w:rsid w:val="0F7709E5"/>
    <w:rsid w:val="10700789"/>
    <w:rsid w:val="10A02A15"/>
    <w:rsid w:val="117A5014"/>
    <w:rsid w:val="11B32F17"/>
    <w:rsid w:val="12380A2C"/>
    <w:rsid w:val="12AB56A1"/>
    <w:rsid w:val="14FB646C"/>
    <w:rsid w:val="15345C60"/>
    <w:rsid w:val="15BD05FB"/>
    <w:rsid w:val="1629618C"/>
    <w:rsid w:val="16D927DD"/>
    <w:rsid w:val="17252CA2"/>
    <w:rsid w:val="17C214C3"/>
    <w:rsid w:val="183160E1"/>
    <w:rsid w:val="18BC31EC"/>
    <w:rsid w:val="18CD45C3"/>
    <w:rsid w:val="19173A91"/>
    <w:rsid w:val="19ED5077"/>
    <w:rsid w:val="1A75281D"/>
    <w:rsid w:val="1AD734D7"/>
    <w:rsid w:val="1B4254C8"/>
    <w:rsid w:val="1BF400B9"/>
    <w:rsid w:val="1C0C5FD8"/>
    <w:rsid w:val="1C297D63"/>
    <w:rsid w:val="1C493F61"/>
    <w:rsid w:val="1C4B0278"/>
    <w:rsid w:val="1C715266"/>
    <w:rsid w:val="1C817B9F"/>
    <w:rsid w:val="1D1327C1"/>
    <w:rsid w:val="1D3544E5"/>
    <w:rsid w:val="1DAF24EA"/>
    <w:rsid w:val="1F0625DD"/>
    <w:rsid w:val="1F0760DA"/>
    <w:rsid w:val="1FF93EF0"/>
    <w:rsid w:val="202645B9"/>
    <w:rsid w:val="20EC135F"/>
    <w:rsid w:val="21701F90"/>
    <w:rsid w:val="21A23429"/>
    <w:rsid w:val="22FB4A21"/>
    <w:rsid w:val="23376A8B"/>
    <w:rsid w:val="249C309C"/>
    <w:rsid w:val="25537BFE"/>
    <w:rsid w:val="26325A66"/>
    <w:rsid w:val="272F1FA5"/>
    <w:rsid w:val="27EE0CED"/>
    <w:rsid w:val="28D42E04"/>
    <w:rsid w:val="296248B4"/>
    <w:rsid w:val="2B7B7EAF"/>
    <w:rsid w:val="2B9B22FF"/>
    <w:rsid w:val="2BA50A88"/>
    <w:rsid w:val="2BD17ACF"/>
    <w:rsid w:val="2C6476F9"/>
    <w:rsid w:val="2D517119"/>
    <w:rsid w:val="2E8C4181"/>
    <w:rsid w:val="2F2E6FE6"/>
    <w:rsid w:val="309D2676"/>
    <w:rsid w:val="30F524B2"/>
    <w:rsid w:val="311A0CF9"/>
    <w:rsid w:val="314D7BF8"/>
    <w:rsid w:val="328C0BF4"/>
    <w:rsid w:val="33150BE9"/>
    <w:rsid w:val="332E5DC3"/>
    <w:rsid w:val="35584DBD"/>
    <w:rsid w:val="3667350A"/>
    <w:rsid w:val="37A10C9D"/>
    <w:rsid w:val="38753E31"/>
    <w:rsid w:val="3885411B"/>
    <w:rsid w:val="3913791C"/>
    <w:rsid w:val="391E03CA"/>
    <w:rsid w:val="39276F80"/>
    <w:rsid w:val="39741ACB"/>
    <w:rsid w:val="39D05D43"/>
    <w:rsid w:val="3A101DCF"/>
    <w:rsid w:val="3A1E65D5"/>
    <w:rsid w:val="3AE0388B"/>
    <w:rsid w:val="3B765F9D"/>
    <w:rsid w:val="3D7242CB"/>
    <w:rsid w:val="3D98669F"/>
    <w:rsid w:val="3E66679D"/>
    <w:rsid w:val="3EDF3E59"/>
    <w:rsid w:val="3F424B14"/>
    <w:rsid w:val="3F95563F"/>
    <w:rsid w:val="3FCC4EA6"/>
    <w:rsid w:val="3FE23C01"/>
    <w:rsid w:val="4061721C"/>
    <w:rsid w:val="40906F6D"/>
    <w:rsid w:val="432B1AFF"/>
    <w:rsid w:val="442E45D0"/>
    <w:rsid w:val="44313282"/>
    <w:rsid w:val="44DA57EF"/>
    <w:rsid w:val="450B1E4C"/>
    <w:rsid w:val="452627E2"/>
    <w:rsid w:val="4537679D"/>
    <w:rsid w:val="45505AB1"/>
    <w:rsid w:val="464B7DBD"/>
    <w:rsid w:val="466873A1"/>
    <w:rsid w:val="47133C53"/>
    <w:rsid w:val="4743767B"/>
    <w:rsid w:val="49543DC1"/>
    <w:rsid w:val="49BA4895"/>
    <w:rsid w:val="4A851990"/>
    <w:rsid w:val="4B5C6F5D"/>
    <w:rsid w:val="4BE17463"/>
    <w:rsid w:val="4BFC77FF"/>
    <w:rsid w:val="4D1F0243"/>
    <w:rsid w:val="4E775E5C"/>
    <w:rsid w:val="4ED67027"/>
    <w:rsid w:val="4EF83441"/>
    <w:rsid w:val="519B6306"/>
    <w:rsid w:val="51AC0513"/>
    <w:rsid w:val="52181704"/>
    <w:rsid w:val="537304F7"/>
    <w:rsid w:val="540208BE"/>
    <w:rsid w:val="55366A71"/>
    <w:rsid w:val="556F3D31"/>
    <w:rsid w:val="562C577E"/>
    <w:rsid w:val="579D6934"/>
    <w:rsid w:val="57A775A1"/>
    <w:rsid w:val="58CD6118"/>
    <w:rsid w:val="58DC16DE"/>
    <w:rsid w:val="59050C34"/>
    <w:rsid w:val="594D4389"/>
    <w:rsid w:val="59543012"/>
    <w:rsid w:val="5A470DD9"/>
    <w:rsid w:val="5B367D9D"/>
    <w:rsid w:val="5BCE7A03"/>
    <w:rsid w:val="5CC74388"/>
    <w:rsid w:val="5E3653EC"/>
    <w:rsid w:val="5F2636B2"/>
    <w:rsid w:val="5F2D4A41"/>
    <w:rsid w:val="5F3F6522"/>
    <w:rsid w:val="5F8202F3"/>
    <w:rsid w:val="6118702B"/>
    <w:rsid w:val="614247E8"/>
    <w:rsid w:val="6283706E"/>
    <w:rsid w:val="646D1D84"/>
    <w:rsid w:val="64746C6E"/>
    <w:rsid w:val="652D0E0B"/>
    <w:rsid w:val="653A1C66"/>
    <w:rsid w:val="66540B05"/>
    <w:rsid w:val="66B420D8"/>
    <w:rsid w:val="66F978FF"/>
    <w:rsid w:val="6759039D"/>
    <w:rsid w:val="684921C0"/>
    <w:rsid w:val="687F27E2"/>
    <w:rsid w:val="68EB28A1"/>
    <w:rsid w:val="69704EF9"/>
    <w:rsid w:val="698711F2"/>
    <w:rsid w:val="69B53FB1"/>
    <w:rsid w:val="6A6432E1"/>
    <w:rsid w:val="6A9E3270"/>
    <w:rsid w:val="6B160A7F"/>
    <w:rsid w:val="6B2D401B"/>
    <w:rsid w:val="6B4B4392"/>
    <w:rsid w:val="6C44786E"/>
    <w:rsid w:val="6C635F46"/>
    <w:rsid w:val="6C860250"/>
    <w:rsid w:val="6D1B0C22"/>
    <w:rsid w:val="6F3040D9"/>
    <w:rsid w:val="6F577108"/>
    <w:rsid w:val="6FF46EB5"/>
    <w:rsid w:val="70120FFB"/>
    <w:rsid w:val="70512559"/>
    <w:rsid w:val="709A7A5C"/>
    <w:rsid w:val="712B3ABA"/>
    <w:rsid w:val="7160306C"/>
    <w:rsid w:val="71FE401B"/>
    <w:rsid w:val="730218E9"/>
    <w:rsid w:val="732E6B82"/>
    <w:rsid w:val="744D3038"/>
    <w:rsid w:val="74932A0C"/>
    <w:rsid w:val="749850D8"/>
    <w:rsid w:val="74AA2238"/>
    <w:rsid w:val="74B55E99"/>
    <w:rsid w:val="75D43A11"/>
    <w:rsid w:val="76197675"/>
    <w:rsid w:val="76397D18"/>
    <w:rsid w:val="76D67314"/>
    <w:rsid w:val="78CD0EAA"/>
    <w:rsid w:val="793D18CD"/>
    <w:rsid w:val="7B283AC0"/>
    <w:rsid w:val="7C703D67"/>
    <w:rsid w:val="7D474AC8"/>
    <w:rsid w:val="7FA8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link w:val="12"/>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autoRedefine/>
    <w:qFormat/>
    <w:uiPriority w:val="22"/>
    <w:rPr>
      <w:b/>
      <w:bCs/>
    </w:rPr>
  </w:style>
  <w:style w:type="character" w:styleId="10">
    <w:name w:val="Hyperlink"/>
    <w:basedOn w:val="8"/>
    <w:autoRedefine/>
    <w:qFormat/>
    <w:uiPriority w:val="0"/>
    <w:rPr>
      <w:color w:val="0000FF"/>
      <w:u w:val="single"/>
    </w:rPr>
  </w:style>
  <w:style w:type="paragraph" w:styleId="11">
    <w:name w:val="List Paragraph"/>
    <w:basedOn w:val="1"/>
    <w:autoRedefine/>
    <w:qFormat/>
    <w:uiPriority w:val="99"/>
    <w:pPr>
      <w:ind w:firstLine="420" w:firstLineChars="200"/>
    </w:pPr>
  </w:style>
  <w:style w:type="character" w:customStyle="1" w:styleId="12">
    <w:name w:val="标题 3 字符"/>
    <w:basedOn w:val="8"/>
    <w:link w:val="4"/>
    <w:autoRedefine/>
    <w:semiHidden/>
    <w:qFormat/>
    <w:uiPriority w:val="0"/>
    <w:rPr>
      <w:rFonts w:asciiTheme="minorHAnsi" w:hAnsiTheme="minorHAnsi" w:eastAsiaTheme="minorEastAsia" w:cstheme="minorBidi"/>
      <w:b/>
      <w:bCs/>
      <w:kern w:val="2"/>
      <w:sz w:val="32"/>
      <w:szCs w:val="32"/>
    </w:rPr>
  </w:style>
  <w:style w:type="character" w:customStyle="1" w:styleId="13">
    <w:name w:val="bjh-p"/>
    <w:basedOn w:val="8"/>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1464</Words>
  <Characters>1710</Characters>
  <Lines>63</Lines>
  <Paragraphs>17</Paragraphs>
  <TotalTime>2</TotalTime>
  <ScaleCrop>false</ScaleCrop>
  <LinksUpToDate>false</LinksUpToDate>
  <CharactersWithSpaces>1856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2022-12-31T13:03:00Z</dcterms:created>
  <dc:creator>LY</dc:creator>
  <cp:lastModifiedBy>好运气</cp:lastModifiedBy>
  <dcterms:modified xsi:type="dcterms:W3CDTF">2025-04-23T03:29:32Z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825E2ACDDD6846B19F724F8841111F8E_13</vt:lpwstr>
  </property>
  <property fmtid="{D5CDD505-2E9C-101B-9397-08002B2CF9AE}" pid="4" name="KSOTemplateDocerSaveRecord">
    <vt:lpwstr>eyJoZGlkIjoiYmI5YTJlZTc3YjhkZDRlMWYyODJlNTk3MGE5OWFhNjIiLCJ1c2VySWQiOiI3MDYyNTc4OTIifQ==</vt:lpwstr>
  </property>
</Properties>
</file>